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E879A0" w:rsidRDefault="007766DD" w:rsidP="00EB38E6">
      <w:pPr>
        <w:jc w:val="center"/>
        <w:rPr>
          <w:lang w:val="en-GB"/>
        </w:rPr>
      </w:pPr>
      <w:r w:rsidRPr="00E879A0">
        <w:rPr>
          <w:noProof/>
        </w:rPr>
        <w:drawing>
          <wp:inline distT="0" distB="0" distL="0" distR="0" wp14:anchorId="03C63DFE" wp14:editId="6744EA0D">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E879A0" w:rsidRDefault="002B26D6" w:rsidP="000F7E70">
      <w:pPr>
        <w:autoSpaceDE w:val="0"/>
        <w:ind w:left="720" w:firstLine="720"/>
        <w:jc w:val="center"/>
        <w:rPr>
          <w:b/>
          <w:bCs/>
          <w:lang w:val="en-GB"/>
        </w:rPr>
      </w:pPr>
    </w:p>
    <w:p w:rsidR="000F7E70" w:rsidRPr="00E879A0" w:rsidRDefault="000F7E70" w:rsidP="00EB38E6">
      <w:pPr>
        <w:autoSpaceDE w:val="0"/>
        <w:ind w:hanging="11"/>
        <w:jc w:val="center"/>
        <w:rPr>
          <w:b/>
          <w:bCs/>
          <w:lang w:val="en-GB"/>
        </w:rPr>
      </w:pPr>
      <w:r w:rsidRPr="00E879A0">
        <w:rPr>
          <w:b/>
          <w:bCs/>
          <w:lang w:val="en-GB"/>
        </w:rPr>
        <w:t>OPINION</w:t>
      </w:r>
    </w:p>
    <w:p w:rsidR="003C12D0" w:rsidRDefault="003C12D0" w:rsidP="000F7E70">
      <w:pPr>
        <w:autoSpaceDE w:val="0"/>
        <w:jc w:val="both"/>
        <w:rPr>
          <w:b/>
          <w:bCs/>
          <w:lang w:val="en-GB"/>
        </w:rPr>
      </w:pPr>
    </w:p>
    <w:p w:rsidR="000F7E70" w:rsidRPr="003C12D0" w:rsidRDefault="000F7E70" w:rsidP="000F7E70">
      <w:pPr>
        <w:autoSpaceDE w:val="0"/>
        <w:jc w:val="both"/>
        <w:rPr>
          <w:b/>
          <w:bCs/>
          <w:lang w:val="en-GB"/>
        </w:rPr>
      </w:pPr>
      <w:r w:rsidRPr="003C12D0">
        <w:rPr>
          <w:b/>
          <w:bCs/>
          <w:lang w:val="en-GB"/>
        </w:rPr>
        <w:t xml:space="preserve">Date of adoption: </w:t>
      </w:r>
      <w:r w:rsidR="006F1710" w:rsidRPr="003C12D0">
        <w:rPr>
          <w:b/>
          <w:bCs/>
          <w:lang w:val="en-GB"/>
        </w:rPr>
        <w:t>13</w:t>
      </w:r>
      <w:r w:rsidR="00CA2AC2" w:rsidRPr="003C12D0">
        <w:rPr>
          <w:b/>
          <w:bCs/>
          <w:lang w:val="en-GB"/>
        </w:rPr>
        <w:t xml:space="preserve"> May </w:t>
      </w:r>
      <w:r w:rsidRPr="003C12D0">
        <w:rPr>
          <w:b/>
          <w:bCs/>
          <w:lang w:val="en-GB"/>
        </w:rPr>
        <w:t>20</w:t>
      </w:r>
      <w:r w:rsidR="00C905F1" w:rsidRPr="003C12D0">
        <w:rPr>
          <w:b/>
          <w:bCs/>
          <w:lang w:val="en-GB"/>
        </w:rPr>
        <w:t>1</w:t>
      </w:r>
      <w:r w:rsidR="00552E02" w:rsidRPr="003C12D0">
        <w:rPr>
          <w:b/>
          <w:bCs/>
          <w:lang w:val="en-GB"/>
        </w:rPr>
        <w:t>5</w:t>
      </w:r>
    </w:p>
    <w:p w:rsidR="00E327E1" w:rsidRPr="003C12D0" w:rsidRDefault="00E327E1" w:rsidP="000F7E70">
      <w:pPr>
        <w:autoSpaceDE w:val="0"/>
        <w:jc w:val="both"/>
        <w:rPr>
          <w:b/>
          <w:bCs/>
          <w:lang w:val="en-GB"/>
        </w:rPr>
      </w:pPr>
    </w:p>
    <w:p w:rsidR="000C2AEF" w:rsidRPr="003C12D0" w:rsidRDefault="000C2AEF" w:rsidP="000C2AEF">
      <w:pPr>
        <w:autoSpaceDE w:val="0"/>
        <w:autoSpaceDN w:val="0"/>
        <w:adjustRightInd w:val="0"/>
        <w:jc w:val="both"/>
        <w:rPr>
          <w:b/>
          <w:bCs/>
        </w:rPr>
      </w:pPr>
      <w:r w:rsidRPr="003C12D0">
        <w:rPr>
          <w:b/>
          <w:bCs/>
        </w:rPr>
        <w:t xml:space="preserve">Case No. </w:t>
      </w:r>
      <w:r w:rsidR="00CA2AC2" w:rsidRPr="003C12D0">
        <w:rPr>
          <w:b/>
          <w:bCs/>
        </w:rPr>
        <w:t>239/09</w:t>
      </w:r>
    </w:p>
    <w:p w:rsidR="000C2AEF" w:rsidRPr="003C12D0" w:rsidRDefault="000C2AEF" w:rsidP="000C2AEF">
      <w:pPr>
        <w:autoSpaceDE w:val="0"/>
        <w:autoSpaceDN w:val="0"/>
        <w:adjustRightInd w:val="0"/>
        <w:jc w:val="both"/>
        <w:rPr>
          <w:b/>
          <w:bCs/>
        </w:rPr>
      </w:pPr>
    </w:p>
    <w:p w:rsidR="000C2AEF" w:rsidRPr="003C12D0" w:rsidRDefault="00CA2AC2" w:rsidP="000C2AEF">
      <w:pPr>
        <w:autoSpaceDE w:val="0"/>
        <w:autoSpaceDN w:val="0"/>
        <w:adjustRightInd w:val="0"/>
        <w:jc w:val="both"/>
        <w:rPr>
          <w:b/>
          <w:bCs/>
        </w:rPr>
      </w:pPr>
      <w:proofErr w:type="spellStart"/>
      <w:r w:rsidRPr="003C12D0">
        <w:rPr>
          <w:b/>
        </w:rPr>
        <w:t>Radomir</w:t>
      </w:r>
      <w:proofErr w:type="spellEnd"/>
      <w:r w:rsidRPr="003C12D0">
        <w:rPr>
          <w:b/>
        </w:rPr>
        <w:t xml:space="preserve"> </w:t>
      </w:r>
      <w:bookmarkStart w:id="0" w:name="_GoBack"/>
      <w:r w:rsidRPr="003C12D0">
        <w:rPr>
          <w:b/>
        </w:rPr>
        <w:t>PANTOVIĆ</w:t>
      </w:r>
    </w:p>
    <w:bookmarkEnd w:id="0"/>
    <w:p w:rsidR="002D428F" w:rsidRPr="003C12D0" w:rsidRDefault="002D428F" w:rsidP="002D428F">
      <w:pPr>
        <w:autoSpaceDE w:val="0"/>
        <w:autoSpaceDN w:val="0"/>
        <w:adjustRightInd w:val="0"/>
        <w:jc w:val="both"/>
        <w:rPr>
          <w:b/>
          <w:bCs/>
          <w:lang w:val="en-GB"/>
        </w:rPr>
      </w:pPr>
    </w:p>
    <w:p w:rsidR="002D428F" w:rsidRPr="003C12D0" w:rsidRDefault="002D428F" w:rsidP="002D428F">
      <w:pPr>
        <w:autoSpaceDE w:val="0"/>
        <w:autoSpaceDN w:val="0"/>
        <w:adjustRightInd w:val="0"/>
        <w:jc w:val="both"/>
        <w:rPr>
          <w:b/>
          <w:bCs/>
          <w:lang w:val="en-GB"/>
        </w:rPr>
      </w:pPr>
      <w:proofErr w:type="gramStart"/>
      <w:r w:rsidRPr="003C12D0">
        <w:rPr>
          <w:b/>
          <w:bCs/>
          <w:lang w:val="en-GB"/>
        </w:rPr>
        <w:t>against</w:t>
      </w:r>
      <w:proofErr w:type="gramEnd"/>
    </w:p>
    <w:p w:rsidR="002D428F" w:rsidRPr="003C12D0" w:rsidRDefault="002D428F" w:rsidP="002D428F">
      <w:pPr>
        <w:autoSpaceDE w:val="0"/>
        <w:autoSpaceDN w:val="0"/>
        <w:adjustRightInd w:val="0"/>
        <w:jc w:val="both"/>
        <w:rPr>
          <w:b/>
          <w:bCs/>
          <w:lang w:val="en-GB"/>
        </w:rPr>
      </w:pPr>
    </w:p>
    <w:p w:rsidR="002D428F" w:rsidRPr="003C12D0" w:rsidRDefault="002D428F" w:rsidP="002D428F">
      <w:pPr>
        <w:autoSpaceDE w:val="0"/>
        <w:autoSpaceDN w:val="0"/>
        <w:adjustRightInd w:val="0"/>
        <w:jc w:val="both"/>
        <w:rPr>
          <w:b/>
          <w:bCs/>
          <w:lang w:val="en-GB"/>
        </w:rPr>
      </w:pPr>
      <w:r w:rsidRPr="003C12D0">
        <w:rPr>
          <w:b/>
          <w:bCs/>
          <w:lang w:val="en-GB"/>
        </w:rPr>
        <w:t xml:space="preserve">UNMIK </w:t>
      </w:r>
    </w:p>
    <w:p w:rsidR="00E07C8C" w:rsidRPr="003C12D0" w:rsidRDefault="00E07C8C" w:rsidP="000F7E70">
      <w:pPr>
        <w:autoSpaceDE w:val="0"/>
        <w:jc w:val="both"/>
        <w:rPr>
          <w:b/>
          <w:bCs/>
          <w:lang w:val="en-GB"/>
        </w:rPr>
      </w:pPr>
    </w:p>
    <w:p w:rsidR="004202B2" w:rsidRPr="003C12D0" w:rsidRDefault="004202B2" w:rsidP="000F7E70">
      <w:pPr>
        <w:autoSpaceDE w:val="0"/>
        <w:jc w:val="both"/>
        <w:rPr>
          <w:b/>
          <w:bCs/>
          <w:lang w:val="en-GB"/>
        </w:rPr>
      </w:pPr>
    </w:p>
    <w:p w:rsidR="000C2AEF" w:rsidRPr="003C12D0" w:rsidRDefault="000C2AEF" w:rsidP="000C2AEF">
      <w:pPr>
        <w:autoSpaceDE w:val="0"/>
        <w:jc w:val="both"/>
      </w:pPr>
      <w:r w:rsidRPr="003C12D0">
        <w:t xml:space="preserve">The Human Rights Advisory Panel, sitting on </w:t>
      </w:r>
      <w:r w:rsidR="006F1710" w:rsidRPr="003C12D0">
        <w:t>13</w:t>
      </w:r>
      <w:r w:rsidR="00CA2AC2" w:rsidRPr="003C12D0">
        <w:t xml:space="preserve"> May </w:t>
      </w:r>
      <w:r w:rsidRPr="003C12D0">
        <w:t>2015,</w:t>
      </w:r>
    </w:p>
    <w:p w:rsidR="000C2AEF" w:rsidRPr="003C12D0" w:rsidRDefault="000C2AEF" w:rsidP="000C2AEF">
      <w:pPr>
        <w:autoSpaceDE w:val="0"/>
        <w:jc w:val="both"/>
      </w:pPr>
      <w:proofErr w:type="gramStart"/>
      <w:r w:rsidRPr="003C12D0">
        <w:t>with</w:t>
      </w:r>
      <w:proofErr w:type="gramEnd"/>
      <w:r w:rsidRPr="003C12D0">
        <w:t xml:space="preserve"> the following members present:</w:t>
      </w:r>
    </w:p>
    <w:p w:rsidR="000C2AEF" w:rsidRPr="003C12D0" w:rsidRDefault="000C2AEF" w:rsidP="000C2AEF">
      <w:pPr>
        <w:autoSpaceDE w:val="0"/>
        <w:jc w:val="both"/>
      </w:pPr>
    </w:p>
    <w:p w:rsidR="000C2AEF" w:rsidRPr="003C12D0" w:rsidRDefault="000C2AEF" w:rsidP="000C2AEF">
      <w:pPr>
        <w:autoSpaceDE w:val="0"/>
        <w:jc w:val="both"/>
      </w:pPr>
      <w:r w:rsidRPr="003C12D0">
        <w:t>Marek Nowicki, Presiding Member</w:t>
      </w:r>
    </w:p>
    <w:p w:rsidR="000C2AEF" w:rsidRPr="003C12D0" w:rsidRDefault="000C2AEF" w:rsidP="000C2AEF">
      <w:pPr>
        <w:autoSpaceDE w:val="0"/>
        <w:jc w:val="both"/>
      </w:pPr>
      <w:r w:rsidRPr="003C12D0">
        <w:t>Christine Chinkin</w:t>
      </w:r>
    </w:p>
    <w:p w:rsidR="000C2AEF" w:rsidRPr="003C12D0" w:rsidRDefault="000C2AEF" w:rsidP="000C2AEF">
      <w:pPr>
        <w:autoSpaceDE w:val="0"/>
        <w:jc w:val="both"/>
        <w:rPr>
          <w:color w:val="FF0000"/>
        </w:rPr>
      </w:pPr>
      <w:r w:rsidRPr="003C12D0">
        <w:t>Françoise Tulkens</w:t>
      </w:r>
    </w:p>
    <w:p w:rsidR="000C2AEF" w:rsidRPr="003C12D0" w:rsidRDefault="000C2AEF" w:rsidP="000C2AEF">
      <w:pPr>
        <w:autoSpaceDE w:val="0"/>
        <w:jc w:val="both"/>
      </w:pPr>
    </w:p>
    <w:p w:rsidR="000C2AEF" w:rsidRPr="003C12D0" w:rsidRDefault="000C2AEF" w:rsidP="000C2AEF">
      <w:pPr>
        <w:autoSpaceDE w:val="0"/>
        <w:jc w:val="both"/>
      </w:pPr>
      <w:r w:rsidRPr="003C12D0">
        <w:t>Assisted by</w:t>
      </w:r>
    </w:p>
    <w:p w:rsidR="000C2AEF" w:rsidRPr="003C12D0" w:rsidRDefault="000C2AEF" w:rsidP="000C2AEF">
      <w:pPr>
        <w:autoSpaceDE w:val="0"/>
        <w:jc w:val="both"/>
      </w:pPr>
    </w:p>
    <w:p w:rsidR="000C2AEF" w:rsidRPr="00423598" w:rsidRDefault="000C2AEF" w:rsidP="000C2AEF">
      <w:pPr>
        <w:autoSpaceDE w:val="0"/>
        <w:jc w:val="both"/>
      </w:pPr>
      <w:r w:rsidRPr="003C12D0">
        <w:t>Andrey Antonov, Executive Officer</w:t>
      </w:r>
    </w:p>
    <w:p w:rsidR="000C2AEF" w:rsidRPr="00423598" w:rsidRDefault="000C2AEF" w:rsidP="000C2AEF">
      <w:pPr>
        <w:autoSpaceDE w:val="0"/>
        <w:jc w:val="both"/>
      </w:pPr>
    </w:p>
    <w:p w:rsidR="000C2AEF" w:rsidRPr="00423598" w:rsidRDefault="000C2AEF" w:rsidP="000C2AEF">
      <w:pPr>
        <w:autoSpaceDE w:val="0"/>
        <w:jc w:val="both"/>
      </w:pPr>
    </w:p>
    <w:p w:rsidR="000C2AEF" w:rsidRPr="00A574EF" w:rsidRDefault="000C2AEF" w:rsidP="000C2AEF">
      <w:pPr>
        <w:autoSpaceDE w:val="0"/>
        <w:autoSpaceDN w:val="0"/>
        <w:adjustRightInd w:val="0"/>
        <w:jc w:val="both"/>
      </w:pPr>
      <w:r w:rsidRPr="00A574EF">
        <w:t>Having considered the aforementioned complaint, introduced pursuant to Section 1.2 of UNMIK Regulation No. 2006/12 of 23 March 2006 on the Establishment of the Human Rights Advisory Panel,</w:t>
      </w:r>
    </w:p>
    <w:p w:rsidR="000C2AEF" w:rsidRPr="00A574EF" w:rsidRDefault="000C2AEF" w:rsidP="000C2AEF">
      <w:pPr>
        <w:autoSpaceDE w:val="0"/>
        <w:autoSpaceDN w:val="0"/>
        <w:adjustRightInd w:val="0"/>
        <w:jc w:val="both"/>
      </w:pPr>
    </w:p>
    <w:p w:rsidR="000C2AEF" w:rsidRPr="00A574EF" w:rsidRDefault="000C2AEF" w:rsidP="000C2AEF">
      <w:pPr>
        <w:autoSpaceDE w:val="0"/>
        <w:autoSpaceDN w:val="0"/>
        <w:adjustRightInd w:val="0"/>
        <w:jc w:val="both"/>
      </w:pPr>
    </w:p>
    <w:p w:rsidR="000C2AEF" w:rsidRPr="00A574EF" w:rsidRDefault="000C2AEF" w:rsidP="000C2AEF">
      <w:pPr>
        <w:autoSpaceDE w:val="0"/>
        <w:autoSpaceDN w:val="0"/>
        <w:adjustRightInd w:val="0"/>
        <w:jc w:val="both"/>
      </w:pPr>
      <w:r w:rsidRPr="00A574EF">
        <w:t xml:space="preserve">Having </w:t>
      </w:r>
      <w:proofErr w:type="gramStart"/>
      <w:r w:rsidRPr="00A574EF">
        <w:t>deliberated,</w:t>
      </w:r>
      <w:proofErr w:type="gramEnd"/>
      <w:r w:rsidRPr="00A574EF">
        <w:t xml:space="preserve"> makes the following findings and recommendations:</w:t>
      </w:r>
    </w:p>
    <w:p w:rsidR="00EC2041" w:rsidRPr="00E879A0" w:rsidRDefault="00EC2041" w:rsidP="00301DAC">
      <w:pPr>
        <w:autoSpaceDE w:val="0"/>
        <w:jc w:val="both"/>
        <w:rPr>
          <w:lang w:val="en-GB"/>
        </w:rPr>
      </w:pPr>
    </w:p>
    <w:p w:rsidR="00022E69" w:rsidRPr="00E879A0" w:rsidRDefault="00022E69" w:rsidP="000F7E70">
      <w:pPr>
        <w:autoSpaceDE w:val="0"/>
        <w:jc w:val="both"/>
        <w:rPr>
          <w:lang w:val="en-GB"/>
        </w:rPr>
      </w:pPr>
    </w:p>
    <w:p w:rsidR="0016154E" w:rsidRPr="00E879A0" w:rsidRDefault="0016154E" w:rsidP="00B50188">
      <w:pPr>
        <w:numPr>
          <w:ilvl w:val="0"/>
          <w:numId w:val="1"/>
        </w:numPr>
        <w:suppressAutoHyphens/>
        <w:autoSpaceDE w:val="0"/>
        <w:ind w:left="360" w:hanging="360"/>
        <w:jc w:val="both"/>
        <w:rPr>
          <w:b/>
          <w:bCs/>
          <w:lang w:val="en-GB"/>
        </w:rPr>
      </w:pPr>
      <w:r w:rsidRPr="00E879A0">
        <w:rPr>
          <w:b/>
          <w:bCs/>
          <w:lang w:val="en-GB"/>
        </w:rPr>
        <w:t>PROCEEDINGS BEFORE THE PANEL</w:t>
      </w:r>
    </w:p>
    <w:p w:rsidR="00E327E1" w:rsidRPr="00E879A0" w:rsidRDefault="00E327E1" w:rsidP="00E327E1">
      <w:pPr>
        <w:pStyle w:val="Default"/>
        <w:ind w:left="360"/>
        <w:jc w:val="both"/>
        <w:rPr>
          <w:color w:val="auto"/>
          <w:lang w:val="en-GB"/>
        </w:rPr>
      </w:pPr>
    </w:p>
    <w:p w:rsidR="00CA2AC2" w:rsidRPr="00176699" w:rsidRDefault="00CA2AC2" w:rsidP="00CA2AC2">
      <w:pPr>
        <w:pStyle w:val="Default"/>
        <w:numPr>
          <w:ilvl w:val="0"/>
          <w:numId w:val="2"/>
        </w:numPr>
        <w:jc w:val="both"/>
      </w:pPr>
      <w:r w:rsidRPr="00176699">
        <w:t xml:space="preserve">The complaint was introduced on 17 April 2009 and registered on 30 April 2009. </w:t>
      </w:r>
    </w:p>
    <w:p w:rsidR="00CA2AC2" w:rsidRPr="00176699" w:rsidRDefault="00CA2AC2" w:rsidP="00CA2AC2">
      <w:pPr>
        <w:pStyle w:val="Default"/>
        <w:ind w:left="360"/>
        <w:jc w:val="both"/>
      </w:pPr>
    </w:p>
    <w:p w:rsidR="00CA2AC2" w:rsidRPr="00176699" w:rsidRDefault="00CA2AC2" w:rsidP="00CA2AC2">
      <w:pPr>
        <w:numPr>
          <w:ilvl w:val="0"/>
          <w:numId w:val="2"/>
        </w:numPr>
        <w:jc w:val="both"/>
      </w:pPr>
      <w:r w:rsidRPr="00176699">
        <w:t xml:space="preserve">On 23 December 2009, the Panel requested the complainant to provide additional information. </w:t>
      </w:r>
    </w:p>
    <w:p w:rsidR="00CA2AC2" w:rsidRPr="00176699" w:rsidRDefault="00CA2AC2" w:rsidP="00CA2AC2">
      <w:pPr>
        <w:jc w:val="both"/>
      </w:pPr>
    </w:p>
    <w:p w:rsidR="00CA2AC2" w:rsidRPr="00176699" w:rsidRDefault="00CA2AC2" w:rsidP="00CA2AC2">
      <w:pPr>
        <w:numPr>
          <w:ilvl w:val="0"/>
          <w:numId w:val="2"/>
        </w:numPr>
        <w:jc w:val="both"/>
      </w:pPr>
      <w:r w:rsidRPr="00176699">
        <w:t xml:space="preserve">On 6 July 2011, the Panel reiterated its request for additional information to the complainant. However, no response was received. </w:t>
      </w:r>
    </w:p>
    <w:p w:rsidR="002E0AF3" w:rsidRPr="00176699" w:rsidRDefault="002E0AF3" w:rsidP="003A4BA6">
      <w:pPr>
        <w:pStyle w:val="Default"/>
        <w:ind w:left="360"/>
        <w:jc w:val="both"/>
        <w:rPr>
          <w:lang w:val="en-GB"/>
        </w:rPr>
      </w:pPr>
    </w:p>
    <w:p w:rsidR="002E0AF3" w:rsidRPr="00176699" w:rsidRDefault="009A6E2B" w:rsidP="00284A77">
      <w:pPr>
        <w:numPr>
          <w:ilvl w:val="0"/>
          <w:numId w:val="2"/>
        </w:numPr>
        <w:jc w:val="both"/>
        <w:rPr>
          <w:b/>
          <w:lang w:val="en-GB"/>
        </w:rPr>
      </w:pPr>
      <w:r w:rsidRPr="00176699">
        <w:rPr>
          <w:lang w:val="en-GB"/>
        </w:rPr>
        <w:t xml:space="preserve">On </w:t>
      </w:r>
      <w:r w:rsidR="00CA2AC2" w:rsidRPr="00176699">
        <w:t>29 December 2011</w:t>
      </w:r>
      <w:r w:rsidR="002E0AF3" w:rsidRPr="00176699">
        <w:rPr>
          <w:lang w:val="en-GB"/>
        </w:rPr>
        <w:t>, the complaint was communicated to the Special Representative of the Secretary-General (SRSG)</w:t>
      </w:r>
      <w:r w:rsidR="00022E69" w:rsidRPr="00176699">
        <w:rPr>
          <w:rStyle w:val="FootnoteReference"/>
          <w:lang w:val="en-GB"/>
        </w:rPr>
        <w:footnoteReference w:id="1"/>
      </w:r>
      <w:r w:rsidR="002E0AF3" w:rsidRPr="00176699">
        <w:rPr>
          <w:lang w:val="en-GB"/>
        </w:rPr>
        <w:t>, for UNMIK’s comments on the admi</w:t>
      </w:r>
      <w:r w:rsidR="00647FB1" w:rsidRPr="00176699">
        <w:rPr>
          <w:lang w:val="en-GB"/>
        </w:rPr>
        <w:t xml:space="preserve">ssibility of the complaint. On </w:t>
      </w:r>
      <w:r w:rsidR="00CA2AC2" w:rsidRPr="00176699">
        <w:t>20 February 2012</w:t>
      </w:r>
      <w:r w:rsidR="002E0AF3" w:rsidRPr="00176699">
        <w:rPr>
          <w:lang w:val="en-GB"/>
        </w:rPr>
        <w:t xml:space="preserve">, </w:t>
      </w:r>
      <w:r w:rsidR="00E35F59" w:rsidRPr="00176699">
        <w:rPr>
          <w:lang w:val="en-GB"/>
        </w:rPr>
        <w:t>the SRSG submitted UNMIK’s</w:t>
      </w:r>
      <w:r w:rsidR="002E0AF3" w:rsidRPr="00176699">
        <w:rPr>
          <w:lang w:val="en-GB"/>
        </w:rPr>
        <w:t xml:space="preserve"> response. </w:t>
      </w:r>
    </w:p>
    <w:p w:rsidR="00CA2AC2" w:rsidRPr="00176699" w:rsidRDefault="00CA2AC2" w:rsidP="00CA2AC2">
      <w:pPr>
        <w:pStyle w:val="ListParagraph"/>
        <w:rPr>
          <w:lang w:val="en-GB"/>
        </w:rPr>
      </w:pPr>
    </w:p>
    <w:p w:rsidR="00CA2AC2" w:rsidRPr="00176699" w:rsidRDefault="00CA2AC2" w:rsidP="00284A77">
      <w:pPr>
        <w:numPr>
          <w:ilvl w:val="0"/>
          <w:numId w:val="2"/>
        </w:numPr>
        <w:jc w:val="both"/>
        <w:rPr>
          <w:lang w:val="en-GB"/>
        </w:rPr>
      </w:pPr>
      <w:r w:rsidRPr="00176699">
        <w:rPr>
          <w:lang w:val="en-GB"/>
        </w:rPr>
        <w:t>On 24 September 2012, the complainant responded to the Panel’s request for additional information, by telephone.</w:t>
      </w:r>
    </w:p>
    <w:p w:rsidR="00E327E1" w:rsidRPr="00176699" w:rsidRDefault="00E327E1" w:rsidP="00647FB1">
      <w:pPr>
        <w:rPr>
          <w:lang w:val="en-GB"/>
        </w:rPr>
      </w:pPr>
    </w:p>
    <w:p w:rsidR="00E327E1" w:rsidRPr="00176699" w:rsidRDefault="00E327E1" w:rsidP="00B50188">
      <w:pPr>
        <w:numPr>
          <w:ilvl w:val="0"/>
          <w:numId w:val="2"/>
        </w:numPr>
        <w:jc w:val="both"/>
        <w:rPr>
          <w:b/>
          <w:lang w:val="en-GB"/>
        </w:rPr>
      </w:pPr>
      <w:r w:rsidRPr="00176699">
        <w:rPr>
          <w:lang w:val="en-GB"/>
        </w:rPr>
        <w:t xml:space="preserve">On </w:t>
      </w:r>
      <w:r w:rsidR="009A6E2B" w:rsidRPr="00176699">
        <w:rPr>
          <w:lang w:val="en-GB"/>
        </w:rPr>
        <w:t>26 September</w:t>
      </w:r>
      <w:r w:rsidR="00622236" w:rsidRPr="00176699">
        <w:rPr>
          <w:lang w:val="en-GB"/>
        </w:rPr>
        <w:t xml:space="preserve"> </w:t>
      </w:r>
      <w:r w:rsidRPr="00176699">
        <w:rPr>
          <w:lang w:val="en-GB"/>
        </w:rPr>
        <w:t>201</w:t>
      </w:r>
      <w:r w:rsidR="00991DCC" w:rsidRPr="00176699">
        <w:rPr>
          <w:lang w:val="en-GB"/>
        </w:rPr>
        <w:t>2</w:t>
      </w:r>
      <w:r w:rsidRPr="00176699">
        <w:rPr>
          <w:lang w:val="en-GB"/>
        </w:rPr>
        <w:t>, t</w:t>
      </w:r>
      <w:r w:rsidR="007766DD" w:rsidRPr="00176699">
        <w:rPr>
          <w:lang w:val="en-GB"/>
        </w:rPr>
        <w:t>he Panel declared the complaint</w:t>
      </w:r>
      <w:r w:rsidRPr="00176699">
        <w:rPr>
          <w:lang w:val="en-GB"/>
        </w:rPr>
        <w:t xml:space="preserve"> admissible</w:t>
      </w:r>
      <w:r w:rsidR="004865D9" w:rsidRPr="00176699">
        <w:t>.</w:t>
      </w:r>
    </w:p>
    <w:p w:rsidR="00E327E1" w:rsidRPr="00176699" w:rsidRDefault="00E327E1" w:rsidP="00E327E1">
      <w:pPr>
        <w:pStyle w:val="Default"/>
        <w:ind w:left="360"/>
        <w:jc w:val="both"/>
        <w:rPr>
          <w:color w:val="auto"/>
          <w:lang w:val="en-GB"/>
        </w:rPr>
      </w:pPr>
    </w:p>
    <w:p w:rsidR="003A4BA6" w:rsidRPr="00176699" w:rsidRDefault="00F855B3" w:rsidP="003A4BA6">
      <w:pPr>
        <w:widowControl w:val="0"/>
        <w:numPr>
          <w:ilvl w:val="0"/>
          <w:numId w:val="2"/>
        </w:numPr>
        <w:tabs>
          <w:tab w:val="left" w:pos="1080"/>
        </w:tabs>
        <w:suppressAutoHyphens/>
        <w:jc w:val="both"/>
        <w:rPr>
          <w:lang w:val="en-GB"/>
        </w:rPr>
      </w:pPr>
      <w:r w:rsidRPr="00176699">
        <w:rPr>
          <w:lang w:val="en-GB"/>
        </w:rPr>
        <w:t xml:space="preserve">On </w:t>
      </w:r>
      <w:r w:rsidR="009A6E2B" w:rsidRPr="00176699">
        <w:rPr>
          <w:lang w:val="en-GB"/>
        </w:rPr>
        <w:t>15</w:t>
      </w:r>
      <w:r w:rsidR="00ED668C" w:rsidRPr="00176699">
        <w:rPr>
          <w:lang w:val="en-GB"/>
        </w:rPr>
        <w:t xml:space="preserve"> </w:t>
      </w:r>
      <w:r w:rsidR="009A6E2B" w:rsidRPr="00176699">
        <w:rPr>
          <w:lang w:val="en-GB"/>
        </w:rPr>
        <w:t xml:space="preserve">October </w:t>
      </w:r>
      <w:r w:rsidR="00991DCC" w:rsidRPr="00176699">
        <w:rPr>
          <w:lang w:val="en-GB"/>
        </w:rPr>
        <w:t>2012</w:t>
      </w:r>
      <w:r w:rsidR="00E327E1" w:rsidRPr="00176699">
        <w:rPr>
          <w:lang w:val="en-GB"/>
        </w:rPr>
        <w:t xml:space="preserve">, </w:t>
      </w:r>
      <w:r w:rsidRPr="00176699">
        <w:rPr>
          <w:lang w:val="en-GB"/>
        </w:rPr>
        <w:t>the Panel forwarded its decision to the SRSG requesting UNMIK’s comments on the merits of the complaint</w:t>
      </w:r>
      <w:r w:rsidR="00672847" w:rsidRPr="00176699">
        <w:rPr>
          <w:lang w:val="en-GB"/>
        </w:rPr>
        <w:t>, as well as copies of the investigative files relevant to the case</w:t>
      </w:r>
      <w:r w:rsidR="00B807FD" w:rsidRPr="00176699">
        <w:rPr>
          <w:lang w:val="en-GB"/>
        </w:rPr>
        <w:t>.</w:t>
      </w:r>
      <w:r w:rsidR="003A4BA6" w:rsidRPr="00176699">
        <w:rPr>
          <w:lang w:val="en-GB"/>
        </w:rPr>
        <w:t xml:space="preserve"> </w:t>
      </w:r>
    </w:p>
    <w:p w:rsidR="003A4BA6" w:rsidRPr="00176699" w:rsidRDefault="003A4BA6" w:rsidP="003A4BA6">
      <w:pPr>
        <w:widowControl w:val="0"/>
        <w:tabs>
          <w:tab w:val="left" w:pos="1080"/>
        </w:tabs>
        <w:suppressAutoHyphens/>
        <w:jc w:val="both"/>
        <w:rPr>
          <w:lang w:val="en-GB"/>
        </w:rPr>
      </w:pPr>
    </w:p>
    <w:p w:rsidR="003A4BA6" w:rsidRPr="00176699" w:rsidRDefault="009A6E2B" w:rsidP="003A4BA6">
      <w:pPr>
        <w:widowControl w:val="0"/>
        <w:numPr>
          <w:ilvl w:val="0"/>
          <w:numId w:val="2"/>
        </w:numPr>
        <w:tabs>
          <w:tab w:val="left" w:pos="1080"/>
        </w:tabs>
        <w:suppressAutoHyphens/>
        <w:jc w:val="both"/>
        <w:rPr>
          <w:lang w:val="en-GB"/>
        </w:rPr>
      </w:pPr>
      <w:bookmarkStart w:id="1" w:name="_Ref414013744"/>
      <w:r w:rsidRPr="00176699">
        <w:rPr>
          <w:lang w:val="en-GB"/>
        </w:rPr>
        <w:t xml:space="preserve">On </w:t>
      </w:r>
      <w:r w:rsidR="00CA2AC2" w:rsidRPr="00176699">
        <w:rPr>
          <w:lang w:val="en-GB"/>
        </w:rPr>
        <w:t xml:space="preserve">12 April </w:t>
      </w:r>
      <w:r w:rsidR="003A4BA6" w:rsidRPr="00176699">
        <w:rPr>
          <w:lang w:val="en-GB"/>
        </w:rPr>
        <w:t>2013, the SRSG provided UNMIK’s comments on the merits of the complaint, together with copies of the investigative files.</w:t>
      </w:r>
      <w:bookmarkEnd w:id="1"/>
    </w:p>
    <w:p w:rsidR="003A4BA6" w:rsidRPr="00176699" w:rsidRDefault="003A4BA6" w:rsidP="003A4BA6">
      <w:pPr>
        <w:pStyle w:val="ListParagraph"/>
        <w:rPr>
          <w:lang w:val="en-GB"/>
        </w:rPr>
      </w:pPr>
    </w:p>
    <w:p w:rsidR="003A4BA6" w:rsidRPr="00176699" w:rsidRDefault="009A6E2B" w:rsidP="003A4BA6">
      <w:pPr>
        <w:pStyle w:val="Default"/>
        <w:numPr>
          <w:ilvl w:val="0"/>
          <w:numId w:val="2"/>
        </w:numPr>
        <w:jc w:val="both"/>
        <w:rPr>
          <w:color w:val="auto"/>
          <w:lang w:val="en-GB"/>
        </w:rPr>
      </w:pPr>
      <w:bookmarkStart w:id="2" w:name="_Ref414013761"/>
      <w:r w:rsidRPr="00176699">
        <w:rPr>
          <w:color w:val="auto"/>
          <w:lang w:val="en-GB"/>
        </w:rPr>
        <w:t>On 24 March</w:t>
      </w:r>
      <w:r w:rsidR="003A4BA6" w:rsidRPr="00176699">
        <w:rPr>
          <w:color w:val="auto"/>
          <w:lang w:val="en-GB"/>
        </w:rPr>
        <w:t xml:space="preserve"> 2015, the Panel requested UNMIK to confirm if the disclosure of files concerning the case</w:t>
      </w:r>
      <w:r w:rsidR="00445981" w:rsidRPr="00176699">
        <w:rPr>
          <w:color w:val="auto"/>
          <w:lang w:val="en-GB"/>
        </w:rPr>
        <w:t xml:space="preserve"> </w:t>
      </w:r>
      <w:r w:rsidRPr="00176699">
        <w:rPr>
          <w:color w:val="auto"/>
          <w:lang w:val="en-GB"/>
        </w:rPr>
        <w:t>could be considered final. On 1</w:t>
      </w:r>
      <w:r w:rsidR="003A4BA6" w:rsidRPr="00176699">
        <w:rPr>
          <w:color w:val="auto"/>
          <w:lang w:val="en-GB"/>
        </w:rPr>
        <w:t xml:space="preserve"> </w:t>
      </w:r>
      <w:r w:rsidRPr="00176699">
        <w:rPr>
          <w:color w:val="auto"/>
          <w:lang w:val="en-GB"/>
        </w:rPr>
        <w:t>April</w:t>
      </w:r>
      <w:r w:rsidR="003A4BA6" w:rsidRPr="00176699">
        <w:rPr>
          <w:color w:val="auto"/>
          <w:lang w:val="en-GB"/>
        </w:rPr>
        <w:t xml:space="preserve"> 2015, UNMIK provided its response.</w:t>
      </w:r>
      <w:bookmarkEnd w:id="2"/>
    </w:p>
    <w:p w:rsidR="00121E9E" w:rsidRPr="00E879A0" w:rsidRDefault="00121E9E" w:rsidP="001F3C32">
      <w:pPr>
        <w:rPr>
          <w:lang w:val="en-GB"/>
        </w:rPr>
      </w:pPr>
    </w:p>
    <w:p w:rsidR="00121E9E" w:rsidRPr="00E879A0" w:rsidRDefault="00121E9E" w:rsidP="008766C9">
      <w:pPr>
        <w:pStyle w:val="ListParagraph"/>
        <w:rPr>
          <w:lang w:val="en-GB"/>
        </w:rPr>
      </w:pPr>
    </w:p>
    <w:p w:rsidR="000F6E16" w:rsidRPr="00E879A0" w:rsidRDefault="007C65E0" w:rsidP="00B50188">
      <w:pPr>
        <w:numPr>
          <w:ilvl w:val="0"/>
          <w:numId w:val="1"/>
        </w:numPr>
        <w:suppressAutoHyphens/>
        <w:autoSpaceDE w:val="0"/>
        <w:ind w:left="360" w:hanging="360"/>
        <w:jc w:val="both"/>
        <w:rPr>
          <w:b/>
          <w:bCs/>
          <w:lang w:val="en-GB"/>
        </w:rPr>
      </w:pPr>
      <w:r w:rsidRPr="00E879A0">
        <w:rPr>
          <w:b/>
          <w:bCs/>
          <w:lang w:val="en-GB"/>
        </w:rPr>
        <w:t>THE FACTS</w:t>
      </w:r>
    </w:p>
    <w:p w:rsidR="000F6E16" w:rsidRPr="00E879A0" w:rsidRDefault="000F6E16" w:rsidP="000F6E16">
      <w:pPr>
        <w:suppressAutoHyphens/>
        <w:autoSpaceDE w:val="0"/>
        <w:ind w:left="360"/>
        <w:jc w:val="both"/>
        <w:rPr>
          <w:b/>
          <w:bCs/>
          <w:lang w:val="en-GB"/>
        </w:rPr>
      </w:pPr>
    </w:p>
    <w:p w:rsidR="00680EF0" w:rsidRPr="00E879A0" w:rsidRDefault="00680EF0" w:rsidP="00B50188">
      <w:pPr>
        <w:numPr>
          <w:ilvl w:val="0"/>
          <w:numId w:val="3"/>
        </w:numPr>
        <w:contextualSpacing/>
        <w:jc w:val="both"/>
        <w:rPr>
          <w:b/>
          <w:lang w:val="en-GB"/>
        </w:rPr>
      </w:pPr>
      <w:r w:rsidRPr="00E879A0">
        <w:rPr>
          <w:b/>
          <w:lang w:val="en-GB"/>
        </w:rPr>
        <w:t>General background</w:t>
      </w:r>
      <w:r w:rsidRPr="00E879A0">
        <w:rPr>
          <w:rStyle w:val="FootnoteReference"/>
          <w:b/>
          <w:lang w:val="en-GB"/>
        </w:rPr>
        <w:footnoteReference w:id="2"/>
      </w:r>
      <w:r w:rsidRPr="00E879A0">
        <w:rPr>
          <w:b/>
          <w:lang w:val="en-GB"/>
        </w:rPr>
        <w:t xml:space="preserve"> </w:t>
      </w:r>
    </w:p>
    <w:p w:rsidR="00680EF0" w:rsidRPr="00E879A0" w:rsidRDefault="00680EF0" w:rsidP="00680EF0">
      <w:pPr>
        <w:ind w:left="360"/>
        <w:contextualSpacing/>
        <w:jc w:val="both"/>
        <w:rPr>
          <w:b/>
          <w:lang w:val="en-GB"/>
        </w:rPr>
      </w:pPr>
    </w:p>
    <w:p w:rsidR="00574094" w:rsidRPr="00E879A0" w:rsidRDefault="00574094" w:rsidP="00574094">
      <w:pPr>
        <w:pStyle w:val="ListParagraph"/>
        <w:numPr>
          <w:ilvl w:val="0"/>
          <w:numId w:val="2"/>
        </w:numPr>
        <w:jc w:val="both"/>
        <w:rPr>
          <w:lang w:val="en-GB"/>
        </w:rPr>
      </w:pPr>
      <w:r w:rsidRPr="00E879A0">
        <w:rPr>
          <w:lang w:val="en-GB"/>
        </w:rPr>
        <w:t xml:space="preserve">The events at </w:t>
      </w:r>
      <w:r w:rsidRPr="00B620D9">
        <w:rPr>
          <w:lang w:val="en-GB"/>
        </w:rPr>
        <w:t>issue took place in the territory of Kosovo</w:t>
      </w:r>
      <w:r w:rsidR="002948A6" w:rsidRPr="00B620D9">
        <w:rPr>
          <w:lang w:val="en-GB"/>
        </w:rPr>
        <w:t xml:space="preserve"> </w:t>
      </w:r>
      <w:r w:rsidR="00144AF1" w:rsidRPr="00B620D9">
        <w:rPr>
          <w:lang w:val="en-GB"/>
        </w:rPr>
        <w:t xml:space="preserve">shortly </w:t>
      </w:r>
      <w:r w:rsidR="00BC568C" w:rsidRPr="00B620D9">
        <w:rPr>
          <w:lang w:val="en-GB"/>
        </w:rPr>
        <w:t>after</w:t>
      </w:r>
      <w:r w:rsidRPr="00B620D9">
        <w:rPr>
          <w:lang w:val="en-GB"/>
        </w:rPr>
        <w:t xml:space="preserve"> the establishment in June 1999 of the</w:t>
      </w:r>
      <w:r w:rsidRPr="00E879A0">
        <w:rPr>
          <w:lang w:val="en-GB"/>
        </w:rPr>
        <w:t xml:space="preserve"> United Nations Interim Administration Mission in Kosovo (UNMIK).</w:t>
      </w:r>
    </w:p>
    <w:p w:rsidR="00C75A82" w:rsidRPr="00E879A0" w:rsidRDefault="00C75A82" w:rsidP="00C75A82">
      <w:pPr>
        <w:tabs>
          <w:tab w:val="left" w:pos="360"/>
        </w:tabs>
        <w:ind w:left="360" w:hanging="360"/>
        <w:jc w:val="both"/>
        <w:rPr>
          <w:lang w:val="en-GB"/>
        </w:rPr>
      </w:pPr>
    </w:p>
    <w:p w:rsidR="00C75A82" w:rsidRPr="00E879A0" w:rsidRDefault="00C75A82" w:rsidP="00B50188">
      <w:pPr>
        <w:widowControl w:val="0"/>
        <w:numPr>
          <w:ilvl w:val="0"/>
          <w:numId w:val="2"/>
        </w:numPr>
        <w:tabs>
          <w:tab w:val="left" w:pos="1080"/>
        </w:tabs>
        <w:suppressAutoHyphens/>
        <w:jc w:val="both"/>
        <w:rPr>
          <w:lang w:val="en-GB"/>
        </w:rPr>
      </w:pPr>
      <w:r w:rsidRPr="00E879A0">
        <w:rPr>
          <w:lang w:val="en-GB"/>
        </w:rPr>
        <w:t xml:space="preserve">The armed conflict during 1998 and 1999 between the Serbian forces on one side and the </w:t>
      </w:r>
      <w:r w:rsidRPr="00E879A0">
        <w:rPr>
          <w:lang w:val="en-GB"/>
        </w:rPr>
        <w:lastRenderedPageBreak/>
        <w:t>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E879A0" w:rsidRDefault="00C75A82" w:rsidP="00C75A82">
      <w:pPr>
        <w:tabs>
          <w:tab w:val="left" w:pos="360"/>
        </w:tabs>
        <w:ind w:left="360" w:hanging="360"/>
        <w:jc w:val="both"/>
        <w:rPr>
          <w:lang w:val="en-GB"/>
        </w:rPr>
      </w:pPr>
    </w:p>
    <w:p w:rsidR="00C75A82" w:rsidRPr="00E879A0" w:rsidRDefault="00FE0FB0" w:rsidP="00FE0FB0">
      <w:pPr>
        <w:pStyle w:val="ListParagraph"/>
        <w:numPr>
          <w:ilvl w:val="0"/>
          <w:numId w:val="2"/>
        </w:numPr>
        <w:suppressAutoHyphens w:val="0"/>
        <w:contextualSpacing/>
        <w:jc w:val="both"/>
        <w:rPr>
          <w:lang w:val="en-GB"/>
        </w:rPr>
      </w:pPr>
      <w:bookmarkStart w:id="3" w:name="_Ref373941473"/>
      <w:r w:rsidRPr="00E879A0">
        <w:rPr>
          <w:lang w:val="en-GB"/>
        </w:rPr>
        <w:t>O</w:t>
      </w:r>
      <w:r w:rsidR="00C75A82" w:rsidRPr="00E879A0">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E879A0" w:rsidRDefault="00C75A82" w:rsidP="00C75A82">
      <w:pPr>
        <w:tabs>
          <w:tab w:val="left" w:pos="360"/>
        </w:tabs>
        <w:ind w:left="360" w:hanging="360"/>
        <w:jc w:val="both"/>
        <w:rPr>
          <w:lang w:val="en-GB"/>
        </w:rPr>
      </w:pPr>
    </w:p>
    <w:p w:rsidR="00C75A82" w:rsidRPr="00E879A0" w:rsidRDefault="00C75A82" w:rsidP="00B50188">
      <w:pPr>
        <w:pStyle w:val="ListParagraph"/>
        <w:numPr>
          <w:ilvl w:val="0"/>
          <w:numId w:val="2"/>
        </w:numPr>
        <w:suppressAutoHyphens w:val="0"/>
        <w:contextualSpacing/>
        <w:jc w:val="both"/>
        <w:rPr>
          <w:lang w:val="en-GB"/>
        </w:rPr>
      </w:pPr>
      <w:r w:rsidRPr="00E879A0">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E879A0" w:rsidRDefault="00C75A82" w:rsidP="00C75A82">
      <w:pPr>
        <w:pStyle w:val="ListParagraph"/>
        <w:tabs>
          <w:tab w:val="left" w:pos="360"/>
        </w:tabs>
        <w:ind w:left="360" w:hanging="360"/>
        <w:rPr>
          <w:lang w:val="en-GB"/>
        </w:rPr>
      </w:pPr>
    </w:p>
    <w:p w:rsidR="00C75A82" w:rsidRPr="00E879A0" w:rsidRDefault="00C75A82" w:rsidP="00B50188">
      <w:pPr>
        <w:pStyle w:val="ListParagraph"/>
        <w:numPr>
          <w:ilvl w:val="0"/>
          <w:numId w:val="2"/>
        </w:numPr>
        <w:suppressAutoHyphens w:val="0"/>
        <w:contextualSpacing/>
        <w:jc w:val="both"/>
        <w:rPr>
          <w:lang w:val="en-GB"/>
        </w:rPr>
      </w:pPr>
      <w:r w:rsidRPr="00E879A0">
        <w:rPr>
          <w:lang w:val="en-GB"/>
        </w:rPr>
        <w:t>Meanwhile, members of the non-Albanian community – mainly but not exclusively Serb</w:t>
      </w:r>
      <w:r w:rsidR="005A236E">
        <w:rPr>
          <w:lang w:val="en-GB"/>
        </w:rPr>
        <w:t>ian</w:t>
      </w:r>
      <w:r w:rsidRPr="00E879A0">
        <w:rPr>
          <w:lang w:val="en-GB"/>
        </w:rPr>
        <w:t xml:space="preserve">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E879A0" w:rsidRDefault="00C75A82" w:rsidP="00C75A82">
      <w:pPr>
        <w:pStyle w:val="ListParagraph"/>
        <w:tabs>
          <w:tab w:val="left" w:pos="360"/>
        </w:tabs>
        <w:ind w:left="360" w:hanging="360"/>
        <w:rPr>
          <w:lang w:val="en-GB"/>
        </w:rPr>
      </w:pPr>
    </w:p>
    <w:p w:rsidR="00C75A82" w:rsidRPr="00E879A0" w:rsidRDefault="00C75A82" w:rsidP="00B50188">
      <w:pPr>
        <w:pStyle w:val="ListParagraph"/>
        <w:numPr>
          <w:ilvl w:val="0"/>
          <w:numId w:val="2"/>
        </w:numPr>
        <w:suppressAutoHyphens w:val="0"/>
        <w:contextualSpacing/>
        <w:jc w:val="both"/>
        <w:rPr>
          <w:lang w:val="en-GB"/>
        </w:rPr>
      </w:pPr>
      <w:r w:rsidRPr="00E879A0">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w:t>
      </w:r>
      <w:r w:rsidRPr="00E879A0">
        <w:rPr>
          <w:lang w:val="en-GB"/>
        </w:rPr>
        <w:lastRenderedPageBreak/>
        <w:t>are listed as still missing by the International Committee of the Red Cross (ICRC) as of October 2012.</w:t>
      </w:r>
    </w:p>
    <w:p w:rsidR="00C75A82" w:rsidRPr="00E879A0" w:rsidRDefault="00C75A82" w:rsidP="00C75A82">
      <w:pPr>
        <w:tabs>
          <w:tab w:val="left" w:pos="360"/>
        </w:tabs>
        <w:ind w:left="360" w:hanging="360"/>
        <w:jc w:val="both"/>
        <w:rPr>
          <w:lang w:val="en-GB"/>
        </w:rPr>
      </w:pPr>
    </w:p>
    <w:p w:rsidR="00C75A82" w:rsidRPr="00E879A0" w:rsidRDefault="00C75A82" w:rsidP="00B50188">
      <w:pPr>
        <w:numPr>
          <w:ilvl w:val="0"/>
          <w:numId w:val="2"/>
        </w:numPr>
        <w:jc w:val="both"/>
        <w:rPr>
          <w:lang w:val="en-GB"/>
        </w:rPr>
      </w:pPr>
      <w:r w:rsidRPr="00E879A0">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E879A0" w:rsidRDefault="00C75A82" w:rsidP="00C75A82">
      <w:pPr>
        <w:pStyle w:val="ListParagraph"/>
        <w:tabs>
          <w:tab w:val="left" w:pos="360"/>
        </w:tabs>
        <w:ind w:left="360" w:hanging="360"/>
        <w:rPr>
          <w:lang w:val="en-GB"/>
        </w:rPr>
      </w:pPr>
    </w:p>
    <w:p w:rsidR="00C75A82" w:rsidRPr="00E879A0" w:rsidRDefault="00C75A82" w:rsidP="00B50188">
      <w:pPr>
        <w:numPr>
          <w:ilvl w:val="0"/>
          <w:numId w:val="2"/>
        </w:numPr>
        <w:jc w:val="both"/>
        <w:rPr>
          <w:lang w:val="en-GB"/>
        </w:rPr>
      </w:pPr>
      <w:bookmarkStart w:id="4" w:name="_Ref346725038"/>
      <w:r w:rsidRPr="00E879A0">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E879A0">
        <w:rPr>
          <w:lang w:val="en-GB"/>
        </w:rPr>
        <w:t xml:space="preserve"> </w:t>
      </w:r>
    </w:p>
    <w:p w:rsidR="00C75A82" w:rsidRPr="00E879A0" w:rsidRDefault="00C75A82" w:rsidP="00C75A82">
      <w:pPr>
        <w:tabs>
          <w:tab w:val="left" w:pos="360"/>
        </w:tabs>
        <w:ind w:left="360" w:hanging="360"/>
        <w:jc w:val="both"/>
        <w:rPr>
          <w:lang w:val="en-GB"/>
        </w:rPr>
      </w:pPr>
    </w:p>
    <w:p w:rsidR="00C75A82" w:rsidRPr="00E879A0" w:rsidRDefault="00C75A82" w:rsidP="00B50188">
      <w:pPr>
        <w:numPr>
          <w:ilvl w:val="0"/>
          <w:numId w:val="2"/>
        </w:numPr>
        <w:jc w:val="both"/>
        <w:rPr>
          <w:lang w:val="en-GB"/>
        </w:rPr>
      </w:pPr>
      <w:bookmarkStart w:id="5" w:name="_Ref346123767"/>
      <w:r w:rsidRPr="00E879A0">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E879A0">
        <w:rPr>
          <w:lang w:val="en-GB"/>
        </w:rPr>
        <w:t xml:space="preserve"> </w:t>
      </w:r>
    </w:p>
    <w:p w:rsidR="00C75A82" w:rsidRPr="00E879A0" w:rsidRDefault="00C75A82" w:rsidP="00C75A82">
      <w:pPr>
        <w:tabs>
          <w:tab w:val="left" w:pos="360"/>
        </w:tabs>
        <w:ind w:left="360" w:hanging="360"/>
        <w:jc w:val="both"/>
        <w:rPr>
          <w:lang w:val="en-GB"/>
        </w:rPr>
      </w:pPr>
    </w:p>
    <w:p w:rsidR="00C75A82" w:rsidRPr="00E879A0" w:rsidRDefault="00C75A82" w:rsidP="00B50188">
      <w:pPr>
        <w:numPr>
          <w:ilvl w:val="0"/>
          <w:numId w:val="2"/>
        </w:numPr>
        <w:jc w:val="both"/>
        <w:rPr>
          <w:lang w:val="en-GB"/>
        </w:rPr>
      </w:pPr>
      <w:bookmarkStart w:id="6" w:name="_Ref346725040"/>
      <w:r w:rsidRPr="00E879A0">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E879A0">
        <w:rPr>
          <w:lang w:val="en-GB"/>
        </w:rPr>
        <w:t>persons</w:t>
      </w:r>
      <w:proofErr w:type="gramEnd"/>
      <w:r w:rsidRPr="00E879A0">
        <w:rPr>
          <w:lang w:val="en-GB"/>
        </w:rPr>
        <w:t xml:space="preserve"> cases in Kosovo. In May 2000, a Victim Recovery and Identification Commission (VRIC) chaired by UNMIK </w:t>
      </w:r>
      <w:proofErr w:type="gramStart"/>
      <w:r w:rsidRPr="00E879A0">
        <w:rPr>
          <w:lang w:val="en-GB"/>
        </w:rPr>
        <w:t>was</w:t>
      </w:r>
      <w:proofErr w:type="gramEnd"/>
      <w:r w:rsidRPr="00E879A0">
        <w:rPr>
          <w:lang w:val="en-GB"/>
        </w:rPr>
        <w:t xml:space="preserve"> created for the recovery, identification and disposition of mortal remains.</w:t>
      </w:r>
      <w:r w:rsidR="00423598" w:rsidRPr="00E879A0">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E879A0">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E879A0">
        <w:rPr>
          <w:lang w:val="en-GB"/>
        </w:rPr>
        <w:t>persons,</w:t>
      </w:r>
      <w:proofErr w:type="gramEnd"/>
      <w:r w:rsidRPr="00E879A0">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w:t>
      </w:r>
      <w:r w:rsidRPr="00E879A0">
        <w:rPr>
          <w:lang w:val="en-GB"/>
        </w:rPr>
        <w:lastRenderedPageBreak/>
        <w:t>in 2003, the identification of mortal remains was carried out by the ICMP through DNA testing.</w:t>
      </w:r>
      <w:bookmarkEnd w:id="6"/>
      <w:r w:rsidRPr="00E879A0">
        <w:rPr>
          <w:lang w:val="en-GB"/>
        </w:rPr>
        <w:t xml:space="preserve"> </w:t>
      </w:r>
    </w:p>
    <w:p w:rsidR="00C75A82" w:rsidRPr="00E879A0" w:rsidRDefault="00C75A82" w:rsidP="00C75A82">
      <w:pPr>
        <w:tabs>
          <w:tab w:val="left" w:pos="360"/>
        </w:tabs>
        <w:ind w:left="360" w:hanging="360"/>
        <w:jc w:val="both"/>
        <w:rPr>
          <w:lang w:val="en-GB"/>
        </w:rPr>
      </w:pPr>
    </w:p>
    <w:p w:rsidR="00C75A82" w:rsidRPr="00E879A0" w:rsidRDefault="00C75A82" w:rsidP="00B50188">
      <w:pPr>
        <w:numPr>
          <w:ilvl w:val="0"/>
          <w:numId w:val="2"/>
        </w:numPr>
        <w:jc w:val="both"/>
        <w:rPr>
          <w:lang w:val="en-GB"/>
        </w:rPr>
      </w:pPr>
      <w:bookmarkStart w:id="7" w:name="_Ref346123927"/>
      <w:r w:rsidRPr="00E879A0">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E879A0" w:rsidRDefault="00C75A82" w:rsidP="00C75A82">
      <w:pPr>
        <w:pStyle w:val="ListParagraph"/>
        <w:tabs>
          <w:tab w:val="left" w:pos="360"/>
        </w:tabs>
        <w:ind w:left="360" w:hanging="360"/>
        <w:rPr>
          <w:lang w:val="en-GB"/>
        </w:rPr>
      </w:pPr>
    </w:p>
    <w:p w:rsidR="00680EF0" w:rsidRPr="005D3669" w:rsidRDefault="00C75A82" w:rsidP="00B50188">
      <w:pPr>
        <w:numPr>
          <w:ilvl w:val="0"/>
          <w:numId w:val="2"/>
        </w:numPr>
        <w:jc w:val="both"/>
        <w:rPr>
          <w:lang w:val="en-GB"/>
        </w:rPr>
      </w:pPr>
      <w:bookmarkStart w:id="8" w:name="_Ref346123928"/>
      <w:r w:rsidRPr="00E879A0">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w:t>
      </w:r>
      <w:r w:rsidRPr="005D3669">
        <w:rPr>
          <w:lang w:val="en-GB"/>
        </w:rPr>
        <w:t xml:space="preserve">criminal case files held by the UNMIK DOJ and UNMIK Police were </w:t>
      </w:r>
      <w:r w:rsidR="004E415C" w:rsidRPr="005D3669">
        <w:rPr>
          <w:lang w:val="en-GB"/>
        </w:rPr>
        <w:t xml:space="preserve">supposed to be </w:t>
      </w:r>
      <w:r w:rsidRPr="005D3669">
        <w:rPr>
          <w:lang w:val="en-GB"/>
        </w:rPr>
        <w:t>handed over to EULEX.</w:t>
      </w:r>
      <w:bookmarkEnd w:id="8"/>
    </w:p>
    <w:p w:rsidR="00242881" w:rsidRPr="005D3669" w:rsidRDefault="00242881" w:rsidP="00A73D67">
      <w:pPr>
        <w:ind w:left="360"/>
        <w:jc w:val="both"/>
        <w:rPr>
          <w:lang w:val="en-GB"/>
        </w:rPr>
      </w:pPr>
    </w:p>
    <w:p w:rsidR="005D3669" w:rsidRPr="00AB2ED0" w:rsidRDefault="00A73D67" w:rsidP="005D3669">
      <w:pPr>
        <w:pStyle w:val="ListParagraph"/>
        <w:numPr>
          <w:ilvl w:val="0"/>
          <w:numId w:val="3"/>
        </w:numPr>
        <w:jc w:val="both"/>
        <w:rPr>
          <w:b/>
          <w:bCs/>
          <w:lang w:val="en-GB"/>
        </w:rPr>
      </w:pPr>
      <w:r w:rsidRPr="00AB2ED0">
        <w:rPr>
          <w:b/>
          <w:bCs/>
          <w:lang w:val="en-GB"/>
        </w:rPr>
        <w:t>Circumstances surrounding the</w:t>
      </w:r>
      <w:r w:rsidR="00622236" w:rsidRPr="00AB2ED0">
        <w:rPr>
          <w:b/>
          <w:bCs/>
          <w:lang w:val="en-GB"/>
        </w:rPr>
        <w:t xml:space="preserve"> </w:t>
      </w:r>
      <w:r w:rsidR="001F0511" w:rsidRPr="00AB2ED0">
        <w:rPr>
          <w:b/>
          <w:bCs/>
          <w:lang w:val="en-GB"/>
        </w:rPr>
        <w:t>disappearance</w:t>
      </w:r>
      <w:r w:rsidR="00E77C72" w:rsidRPr="00AB2ED0">
        <w:rPr>
          <w:b/>
          <w:bCs/>
          <w:lang w:val="en-GB"/>
        </w:rPr>
        <w:t xml:space="preserve"> </w:t>
      </w:r>
      <w:r w:rsidR="009602AF" w:rsidRPr="00AB2ED0">
        <w:rPr>
          <w:b/>
          <w:bCs/>
          <w:lang w:val="en-GB"/>
        </w:rPr>
        <w:t xml:space="preserve">of </w:t>
      </w:r>
      <w:r w:rsidR="005D3669" w:rsidRPr="00AB2ED0">
        <w:rPr>
          <w:b/>
          <w:lang w:val="en-GB"/>
        </w:rPr>
        <w:t xml:space="preserve">Mrs </w:t>
      </w:r>
      <w:proofErr w:type="spellStart"/>
      <w:r w:rsidR="005D3669" w:rsidRPr="00AB2ED0">
        <w:rPr>
          <w:b/>
          <w:lang w:val="en-GB"/>
        </w:rPr>
        <w:t>Slavka</w:t>
      </w:r>
      <w:proofErr w:type="spellEnd"/>
      <w:r w:rsidR="005D3669" w:rsidRPr="00AB2ED0">
        <w:rPr>
          <w:b/>
          <w:lang w:val="en-GB"/>
        </w:rPr>
        <w:t xml:space="preserve"> </w:t>
      </w:r>
      <w:proofErr w:type="spellStart"/>
      <w:r w:rsidR="005D3669" w:rsidRPr="00AB2ED0">
        <w:rPr>
          <w:b/>
          <w:lang w:val="en-GB"/>
        </w:rPr>
        <w:t>Pantović</w:t>
      </w:r>
      <w:proofErr w:type="spellEnd"/>
      <w:r w:rsidR="005D3669" w:rsidRPr="00AB2ED0">
        <w:rPr>
          <w:b/>
          <w:lang w:val="en-GB"/>
        </w:rPr>
        <w:t xml:space="preserve">, Mr </w:t>
      </w:r>
      <w:proofErr w:type="spellStart"/>
      <w:r w:rsidR="005D3669" w:rsidRPr="00AB2ED0">
        <w:rPr>
          <w:b/>
          <w:lang w:val="en-GB"/>
        </w:rPr>
        <w:t>Milić</w:t>
      </w:r>
      <w:proofErr w:type="spellEnd"/>
      <w:r w:rsidR="005D3669" w:rsidRPr="00AB2ED0">
        <w:rPr>
          <w:b/>
          <w:lang w:val="en-GB"/>
        </w:rPr>
        <w:t xml:space="preserve"> </w:t>
      </w:r>
      <w:proofErr w:type="spellStart"/>
      <w:r w:rsidR="005D3669" w:rsidRPr="00AB2ED0">
        <w:rPr>
          <w:b/>
          <w:lang w:val="en-GB"/>
        </w:rPr>
        <w:t>Pantović</w:t>
      </w:r>
      <w:proofErr w:type="spellEnd"/>
      <w:r w:rsidR="005D3669" w:rsidRPr="00AB2ED0">
        <w:rPr>
          <w:b/>
          <w:lang w:val="en-GB"/>
        </w:rPr>
        <w:t xml:space="preserve"> and Mrs </w:t>
      </w:r>
      <w:proofErr w:type="spellStart"/>
      <w:r w:rsidR="005D3669" w:rsidRPr="00AB2ED0">
        <w:rPr>
          <w:b/>
          <w:lang w:val="en-GB"/>
        </w:rPr>
        <w:t>Mileva</w:t>
      </w:r>
      <w:proofErr w:type="spellEnd"/>
      <w:r w:rsidR="005D3669" w:rsidRPr="00AB2ED0">
        <w:rPr>
          <w:b/>
          <w:lang w:val="en-GB"/>
        </w:rPr>
        <w:t xml:space="preserve"> </w:t>
      </w:r>
      <w:proofErr w:type="spellStart"/>
      <w:r w:rsidR="005D3669" w:rsidRPr="00AB2ED0">
        <w:rPr>
          <w:b/>
          <w:lang w:val="en-GB"/>
        </w:rPr>
        <w:t>Pantović</w:t>
      </w:r>
      <w:proofErr w:type="spellEnd"/>
      <w:r w:rsidR="005D3669" w:rsidRPr="00AB2ED0">
        <w:rPr>
          <w:b/>
          <w:lang w:val="en-GB"/>
        </w:rPr>
        <w:t>.</w:t>
      </w:r>
    </w:p>
    <w:p w:rsidR="00647FB1" w:rsidRPr="00AB2ED0" w:rsidRDefault="00647FB1" w:rsidP="005D3669">
      <w:pPr>
        <w:autoSpaceDE w:val="0"/>
        <w:jc w:val="both"/>
        <w:rPr>
          <w:lang w:val="en-GB"/>
        </w:rPr>
      </w:pPr>
    </w:p>
    <w:p w:rsidR="005D3669" w:rsidRPr="00AB2ED0" w:rsidRDefault="005D3669" w:rsidP="005D3669">
      <w:pPr>
        <w:numPr>
          <w:ilvl w:val="0"/>
          <w:numId w:val="2"/>
        </w:numPr>
        <w:jc w:val="both"/>
        <w:rPr>
          <w:bCs/>
          <w:lang w:val="en-GB"/>
        </w:rPr>
      </w:pPr>
      <w:bookmarkStart w:id="9" w:name="_Ref389154703"/>
      <w:r w:rsidRPr="00AB2ED0">
        <w:rPr>
          <w:lang w:val="en-GB"/>
        </w:rPr>
        <w:t xml:space="preserve">The complainant is the nephew of Mrs </w:t>
      </w:r>
      <w:proofErr w:type="spellStart"/>
      <w:r w:rsidRPr="00AB2ED0">
        <w:rPr>
          <w:lang w:val="en-GB"/>
        </w:rPr>
        <w:t>Slavka</w:t>
      </w:r>
      <w:proofErr w:type="spellEnd"/>
      <w:r w:rsidRPr="00AB2ED0">
        <w:rPr>
          <w:lang w:val="en-GB"/>
        </w:rPr>
        <w:t xml:space="preserve"> </w:t>
      </w:r>
      <w:proofErr w:type="spellStart"/>
      <w:r w:rsidRPr="00AB2ED0">
        <w:rPr>
          <w:lang w:val="en-GB"/>
        </w:rPr>
        <w:t>Pantović</w:t>
      </w:r>
      <w:proofErr w:type="spellEnd"/>
      <w:r w:rsidRPr="00AB2ED0">
        <w:rPr>
          <w:lang w:val="en-GB"/>
        </w:rPr>
        <w:t>,</w:t>
      </w:r>
      <w:r w:rsidR="00B5207F" w:rsidRPr="00AB2ED0">
        <w:rPr>
          <w:lang w:val="en-GB"/>
        </w:rPr>
        <w:t xml:space="preserve"> Mr </w:t>
      </w:r>
      <w:proofErr w:type="spellStart"/>
      <w:r w:rsidR="00B5207F" w:rsidRPr="00AB2ED0">
        <w:rPr>
          <w:lang w:val="en-GB"/>
        </w:rPr>
        <w:t>Milić</w:t>
      </w:r>
      <w:proofErr w:type="spellEnd"/>
      <w:r w:rsidR="00B5207F" w:rsidRPr="00AB2ED0">
        <w:rPr>
          <w:lang w:val="en-GB"/>
        </w:rPr>
        <w:t xml:space="preserve"> </w:t>
      </w:r>
      <w:proofErr w:type="spellStart"/>
      <w:r w:rsidR="00B5207F" w:rsidRPr="00AB2ED0">
        <w:rPr>
          <w:lang w:val="en-GB"/>
        </w:rPr>
        <w:t>Pantović</w:t>
      </w:r>
      <w:proofErr w:type="spellEnd"/>
      <w:r w:rsidR="00B5207F" w:rsidRPr="00AB2ED0">
        <w:rPr>
          <w:lang w:val="en-GB"/>
        </w:rPr>
        <w:t>, and</w:t>
      </w:r>
      <w:r w:rsidR="00CA4810" w:rsidRPr="00AB2ED0">
        <w:rPr>
          <w:lang w:val="en-GB"/>
        </w:rPr>
        <w:t xml:space="preserve"> </w:t>
      </w:r>
      <w:r w:rsidR="00B5207F" w:rsidRPr="00AB2ED0">
        <w:rPr>
          <w:lang w:val="en-GB"/>
        </w:rPr>
        <w:t xml:space="preserve">Mrs </w:t>
      </w:r>
      <w:proofErr w:type="spellStart"/>
      <w:r w:rsidR="00B5207F" w:rsidRPr="00AB2ED0">
        <w:rPr>
          <w:lang w:val="en-GB"/>
        </w:rPr>
        <w:t>Mileva</w:t>
      </w:r>
      <w:proofErr w:type="spellEnd"/>
      <w:r w:rsidR="00B5207F" w:rsidRPr="00AB2ED0">
        <w:rPr>
          <w:lang w:val="en-GB"/>
        </w:rPr>
        <w:t xml:space="preserve"> </w:t>
      </w:r>
      <w:proofErr w:type="spellStart"/>
      <w:r w:rsidR="00B5207F" w:rsidRPr="00AB2ED0">
        <w:rPr>
          <w:lang w:val="en-GB"/>
        </w:rPr>
        <w:t>Pantović</w:t>
      </w:r>
      <w:proofErr w:type="spellEnd"/>
      <w:r w:rsidRPr="00AB2ED0">
        <w:rPr>
          <w:lang w:val="en-GB"/>
        </w:rPr>
        <w:t>.</w:t>
      </w:r>
    </w:p>
    <w:p w:rsidR="005D3669" w:rsidRPr="00AB2ED0" w:rsidRDefault="005D3669" w:rsidP="005D3669">
      <w:pPr>
        <w:ind w:left="360"/>
        <w:jc w:val="both"/>
        <w:rPr>
          <w:bCs/>
          <w:lang w:val="en-GB"/>
        </w:rPr>
      </w:pPr>
    </w:p>
    <w:p w:rsidR="00015CDA" w:rsidRPr="00AB2ED0" w:rsidRDefault="005D3669" w:rsidP="00015CDA">
      <w:pPr>
        <w:numPr>
          <w:ilvl w:val="0"/>
          <w:numId w:val="2"/>
        </w:numPr>
        <w:jc w:val="both"/>
        <w:rPr>
          <w:bCs/>
          <w:lang w:val="en-GB"/>
        </w:rPr>
      </w:pPr>
      <w:r w:rsidRPr="00AB2ED0">
        <w:rPr>
          <w:lang w:val="en-GB"/>
        </w:rPr>
        <w:t xml:space="preserve">The complainant states that on 26 June 1999, Mrs </w:t>
      </w:r>
      <w:proofErr w:type="spellStart"/>
      <w:r w:rsidRPr="00AB2ED0">
        <w:rPr>
          <w:lang w:val="en-GB"/>
        </w:rPr>
        <w:t>Slavka</w:t>
      </w:r>
      <w:proofErr w:type="spellEnd"/>
      <w:r w:rsidRPr="00AB2ED0">
        <w:rPr>
          <w:lang w:val="en-GB"/>
        </w:rPr>
        <w:t xml:space="preserve"> </w:t>
      </w:r>
      <w:proofErr w:type="spellStart"/>
      <w:r w:rsidRPr="00AB2ED0">
        <w:rPr>
          <w:lang w:val="en-GB"/>
        </w:rPr>
        <w:t>Pantović</w:t>
      </w:r>
      <w:proofErr w:type="spellEnd"/>
      <w:r w:rsidRPr="00AB2ED0">
        <w:rPr>
          <w:lang w:val="en-GB"/>
        </w:rPr>
        <w:t xml:space="preserve">, Mr </w:t>
      </w:r>
      <w:proofErr w:type="spellStart"/>
      <w:r w:rsidRPr="00AB2ED0">
        <w:rPr>
          <w:lang w:val="en-GB"/>
        </w:rPr>
        <w:t>Milić</w:t>
      </w:r>
      <w:proofErr w:type="spellEnd"/>
      <w:r w:rsidRPr="00AB2ED0">
        <w:rPr>
          <w:lang w:val="en-GB"/>
        </w:rPr>
        <w:t xml:space="preserve"> </w:t>
      </w:r>
      <w:proofErr w:type="spellStart"/>
      <w:r w:rsidRPr="00AB2ED0">
        <w:rPr>
          <w:lang w:val="en-GB"/>
        </w:rPr>
        <w:t>Pantović</w:t>
      </w:r>
      <w:proofErr w:type="spellEnd"/>
      <w:r w:rsidRPr="00AB2ED0">
        <w:rPr>
          <w:lang w:val="en-GB"/>
        </w:rPr>
        <w:t xml:space="preserve"> and Mrs </w:t>
      </w:r>
      <w:proofErr w:type="spellStart"/>
      <w:r w:rsidRPr="00AB2ED0">
        <w:rPr>
          <w:lang w:val="en-GB"/>
        </w:rPr>
        <w:t>Mileva</w:t>
      </w:r>
      <w:proofErr w:type="spellEnd"/>
      <w:r w:rsidRPr="00AB2ED0">
        <w:rPr>
          <w:lang w:val="en-GB"/>
        </w:rPr>
        <w:t xml:space="preserve"> </w:t>
      </w:r>
      <w:proofErr w:type="spellStart"/>
      <w:r w:rsidRPr="00AB2ED0">
        <w:rPr>
          <w:lang w:val="en-GB"/>
        </w:rPr>
        <w:t>Pantović</w:t>
      </w:r>
      <w:proofErr w:type="spellEnd"/>
      <w:r w:rsidRPr="00AB2ED0">
        <w:rPr>
          <w:lang w:val="en-GB"/>
        </w:rPr>
        <w:t xml:space="preserve">, were abducted from their </w:t>
      </w:r>
      <w:r w:rsidR="00247A9D" w:rsidRPr="00AB2ED0">
        <w:rPr>
          <w:lang w:val="en-GB"/>
        </w:rPr>
        <w:t>flat</w:t>
      </w:r>
      <w:r w:rsidRPr="00AB2ED0">
        <w:rPr>
          <w:lang w:val="en-GB"/>
        </w:rPr>
        <w:t xml:space="preserve"> in </w:t>
      </w:r>
      <w:proofErr w:type="spellStart"/>
      <w:r w:rsidRPr="00AB2ED0">
        <w:rPr>
          <w:lang w:val="en-GB"/>
        </w:rPr>
        <w:t>Gjakovё</w:t>
      </w:r>
      <w:proofErr w:type="spellEnd"/>
      <w:r w:rsidRPr="00AB2ED0">
        <w:rPr>
          <w:lang w:val="en-GB"/>
        </w:rPr>
        <w:t>/</w:t>
      </w:r>
      <w:proofErr w:type="spellStart"/>
      <w:r w:rsidRPr="00AB2ED0">
        <w:rPr>
          <w:lang w:val="en-GB"/>
        </w:rPr>
        <w:t>Ðakovica</w:t>
      </w:r>
      <w:proofErr w:type="spellEnd"/>
      <w:r w:rsidRPr="00AB2ED0">
        <w:rPr>
          <w:lang w:val="en-GB"/>
        </w:rPr>
        <w:t xml:space="preserve">. Since that time their whereabouts have remained unknown. </w:t>
      </w:r>
    </w:p>
    <w:p w:rsidR="00A9546C" w:rsidRPr="00AB2ED0" w:rsidRDefault="00A9546C" w:rsidP="000C00BD">
      <w:pPr>
        <w:rPr>
          <w:bCs/>
          <w:lang w:val="en-GB"/>
        </w:rPr>
      </w:pPr>
    </w:p>
    <w:p w:rsidR="00A9546C" w:rsidRPr="00AB2ED0" w:rsidRDefault="00A9546C" w:rsidP="00A9546C">
      <w:pPr>
        <w:numPr>
          <w:ilvl w:val="0"/>
          <w:numId w:val="2"/>
        </w:numPr>
        <w:jc w:val="both"/>
        <w:rPr>
          <w:bCs/>
        </w:rPr>
      </w:pPr>
      <w:bookmarkStart w:id="10" w:name="_Ref418245876"/>
      <w:r w:rsidRPr="00AB2ED0">
        <w:rPr>
          <w:bCs/>
        </w:rPr>
        <w:t xml:space="preserve">The complainant states that on an unspecified date the abductions were reported to an unspecified UNMIK International Prosecutor’s Office. Tracing requests for Mrs </w:t>
      </w:r>
      <w:proofErr w:type="spellStart"/>
      <w:r w:rsidRPr="00AB2ED0">
        <w:rPr>
          <w:bCs/>
        </w:rPr>
        <w:t>Slavka</w:t>
      </w:r>
      <w:proofErr w:type="spellEnd"/>
      <w:r w:rsidRPr="00AB2ED0">
        <w:rPr>
          <w:bCs/>
        </w:rPr>
        <w:t xml:space="preserve"> </w:t>
      </w:r>
      <w:proofErr w:type="spellStart"/>
      <w:r w:rsidRPr="00AB2ED0">
        <w:rPr>
          <w:bCs/>
        </w:rPr>
        <w:t>Pantović</w:t>
      </w:r>
      <w:proofErr w:type="spellEnd"/>
      <w:r w:rsidRPr="00AB2ED0">
        <w:rPr>
          <w:bCs/>
        </w:rPr>
        <w:t xml:space="preserve">, Mr </w:t>
      </w:r>
      <w:proofErr w:type="spellStart"/>
      <w:r w:rsidRPr="00AB2ED0">
        <w:rPr>
          <w:bCs/>
        </w:rPr>
        <w:t>Milić</w:t>
      </w:r>
      <w:proofErr w:type="spellEnd"/>
      <w:r w:rsidRPr="00AB2ED0">
        <w:rPr>
          <w:bCs/>
        </w:rPr>
        <w:t xml:space="preserve"> </w:t>
      </w:r>
      <w:proofErr w:type="spellStart"/>
      <w:r w:rsidRPr="00AB2ED0">
        <w:rPr>
          <w:bCs/>
        </w:rPr>
        <w:t>Pantović</w:t>
      </w:r>
      <w:proofErr w:type="spellEnd"/>
      <w:r w:rsidRPr="00AB2ED0">
        <w:rPr>
          <w:bCs/>
        </w:rPr>
        <w:t xml:space="preserve"> and Mrs </w:t>
      </w:r>
      <w:proofErr w:type="spellStart"/>
      <w:r w:rsidRPr="00AB2ED0">
        <w:rPr>
          <w:bCs/>
        </w:rPr>
        <w:t>Mileva</w:t>
      </w:r>
      <w:proofErr w:type="spellEnd"/>
      <w:r w:rsidRPr="00AB2ED0">
        <w:rPr>
          <w:bCs/>
        </w:rPr>
        <w:t xml:space="preserve"> </w:t>
      </w:r>
      <w:proofErr w:type="spellStart"/>
      <w:r w:rsidRPr="00AB2ED0">
        <w:rPr>
          <w:bCs/>
        </w:rPr>
        <w:t>Pantović</w:t>
      </w:r>
      <w:proofErr w:type="spellEnd"/>
      <w:r w:rsidRPr="00AB2ED0">
        <w:rPr>
          <w:bCs/>
        </w:rPr>
        <w:t xml:space="preserve"> were issued by the ICRC on 23 December 1999 and remain open.</w:t>
      </w:r>
      <w:r w:rsidR="000A78D0" w:rsidRPr="00AB2ED0">
        <w:rPr>
          <w:rStyle w:val="FootnoteReference"/>
          <w:lang w:val="en-GB"/>
        </w:rPr>
        <w:footnoteReference w:id="3"/>
      </w:r>
      <w:r w:rsidRPr="00AB2ED0">
        <w:rPr>
          <w:bCs/>
        </w:rPr>
        <w:t xml:space="preserve"> Likewise, their names appear in a </w:t>
      </w:r>
      <w:r w:rsidRPr="00AB2ED0">
        <w:t xml:space="preserve">list of missing persons communicated by the ICRC to UNMIK Police on 12 October 2001 as well as in the database compiled by the </w:t>
      </w:r>
      <w:r w:rsidR="000A78D0" w:rsidRPr="00AB2ED0">
        <w:t>OMPF.</w:t>
      </w:r>
      <w:r w:rsidR="000A78D0" w:rsidRPr="00AB2ED0">
        <w:rPr>
          <w:rStyle w:val="FootnoteReference"/>
          <w:bCs/>
          <w:lang w:val="en-GB"/>
        </w:rPr>
        <w:footnoteReference w:id="4"/>
      </w:r>
      <w:bookmarkEnd w:id="10"/>
    </w:p>
    <w:p w:rsidR="003A4BA6" w:rsidRPr="00AB2ED0" w:rsidRDefault="003A4BA6" w:rsidP="003A4BA6">
      <w:pPr>
        <w:pStyle w:val="ListParagraph"/>
        <w:rPr>
          <w:lang w:val="en-GB"/>
        </w:rPr>
      </w:pPr>
    </w:p>
    <w:p w:rsidR="009A6E2B" w:rsidRPr="00AB2ED0" w:rsidRDefault="009A6E2B" w:rsidP="003A4BA6">
      <w:pPr>
        <w:numPr>
          <w:ilvl w:val="0"/>
          <w:numId w:val="2"/>
        </w:numPr>
        <w:jc w:val="both"/>
        <w:rPr>
          <w:bCs/>
          <w:lang w:val="en-GB"/>
        </w:rPr>
      </w:pPr>
      <w:bookmarkStart w:id="11" w:name="_Ref418239726"/>
      <w:bookmarkEnd w:id="9"/>
      <w:r w:rsidRPr="00AB2ED0">
        <w:rPr>
          <w:bCs/>
          <w:lang w:val="en-GB"/>
        </w:rPr>
        <w:t xml:space="preserve">The entry in relation to </w:t>
      </w:r>
      <w:r w:rsidR="000A78D0" w:rsidRPr="00AB2ED0">
        <w:rPr>
          <w:lang w:val="en-GB"/>
        </w:rPr>
        <w:t xml:space="preserve">Mrs </w:t>
      </w:r>
      <w:proofErr w:type="spellStart"/>
      <w:r w:rsidR="000A78D0" w:rsidRPr="00AB2ED0">
        <w:rPr>
          <w:lang w:val="en-GB"/>
        </w:rPr>
        <w:t>Slavka</w:t>
      </w:r>
      <w:proofErr w:type="spellEnd"/>
      <w:r w:rsidR="000A78D0" w:rsidRPr="00AB2ED0">
        <w:rPr>
          <w:lang w:val="en-GB"/>
        </w:rPr>
        <w:t xml:space="preserve"> </w:t>
      </w:r>
      <w:proofErr w:type="spellStart"/>
      <w:r w:rsidR="000A78D0" w:rsidRPr="00AB2ED0">
        <w:rPr>
          <w:lang w:val="en-GB"/>
        </w:rPr>
        <w:t>Pantović</w:t>
      </w:r>
      <w:proofErr w:type="spellEnd"/>
      <w:r w:rsidR="000A78D0" w:rsidRPr="00AB2ED0">
        <w:rPr>
          <w:lang w:val="en-GB"/>
        </w:rPr>
        <w:t xml:space="preserve">, Mr </w:t>
      </w:r>
      <w:proofErr w:type="spellStart"/>
      <w:r w:rsidR="000A78D0" w:rsidRPr="00AB2ED0">
        <w:rPr>
          <w:lang w:val="en-GB"/>
        </w:rPr>
        <w:t>Milić</w:t>
      </w:r>
      <w:proofErr w:type="spellEnd"/>
      <w:r w:rsidR="000A78D0" w:rsidRPr="00AB2ED0">
        <w:rPr>
          <w:lang w:val="en-GB"/>
        </w:rPr>
        <w:t xml:space="preserve"> </w:t>
      </w:r>
      <w:proofErr w:type="spellStart"/>
      <w:r w:rsidR="000A78D0" w:rsidRPr="00AB2ED0">
        <w:rPr>
          <w:lang w:val="en-GB"/>
        </w:rPr>
        <w:t>Pantović</w:t>
      </w:r>
      <w:proofErr w:type="spellEnd"/>
      <w:r w:rsidR="000A78D0" w:rsidRPr="00AB2ED0">
        <w:rPr>
          <w:lang w:val="en-GB"/>
        </w:rPr>
        <w:t xml:space="preserve"> and Mrs </w:t>
      </w:r>
      <w:proofErr w:type="spellStart"/>
      <w:r w:rsidR="000A78D0" w:rsidRPr="00AB2ED0">
        <w:rPr>
          <w:lang w:val="en-GB"/>
        </w:rPr>
        <w:t>Mileva</w:t>
      </w:r>
      <w:proofErr w:type="spellEnd"/>
      <w:r w:rsidR="000A78D0" w:rsidRPr="00AB2ED0">
        <w:rPr>
          <w:lang w:val="en-GB"/>
        </w:rPr>
        <w:t xml:space="preserve"> </w:t>
      </w:r>
      <w:proofErr w:type="spellStart"/>
      <w:r w:rsidR="000A78D0" w:rsidRPr="00AB2ED0">
        <w:rPr>
          <w:lang w:val="en-GB"/>
        </w:rPr>
        <w:t>Pantović</w:t>
      </w:r>
      <w:proofErr w:type="spellEnd"/>
      <w:r w:rsidR="000A78D0" w:rsidRPr="00AB2ED0">
        <w:rPr>
          <w:bCs/>
          <w:lang w:val="en-GB"/>
        </w:rPr>
        <w:t xml:space="preserve"> </w:t>
      </w:r>
      <w:r w:rsidRPr="00AB2ED0">
        <w:rPr>
          <w:bCs/>
          <w:lang w:val="en-GB"/>
        </w:rPr>
        <w:t xml:space="preserve">in the </w:t>
      </w:r>
      <w:r w:rsidRPr="00AB2ED0">
        <w:rPr>
          <w:lang w:val="en-GB"/>
        </w:rPr>
        <w:t>online database maintained by the ICMP</w:t>
      </w:r>
      <w:r w:rsidRPr="00AB2ED0">
        <w:rPr>
          <w:vertAlign w:val="superscript"/>
          <w:lang w:val="en-GB"/>
        </w:rPr>
        <w:footnoteReference w:id="5"/>
      </w:r>
      <w:r w:rsidR="003649EE" w:rsidRPr="00AB2ED0">
        <w:rPr>
          <w:lang w:val="en-GB"/>
        </w:rPr>
        <w:t xml:space="preserve"> gives 1 July 1999, 1 March 1999 and 1 March 1999,</w:t>
      </w:r>
      <w:r w:rsidRPr="00AB2ED0">
        <w:rPr>
          <w:rStyle w:val="FootnoteReference"/>
          <w:lang w:val="en-GB"/>
        </w:rPr>
        <w:footnoteReference w:id="6"/>
      </w:r>
      <w:r w:rsidRPr="00AB2ED0">
        <w:rPr>
          <w:lang w:val="en-GB"/>
        </w:rPr>
        <w:t xml:space="preserve"> as </w:t>
      </w:r>
      <w:r w:rsidR="003649EE" w:rsidRPr="00AB2ED0">
        <w:rPr>
          <w:lang w:val="en-GB"/>
        </w:rPr>
        <w:t xml:space="preserve">their respective </w:t>
      </w:r>
      <w:r w:rsidR="000A78D0" w:rsidRPr="00AB2ED0">
        <w:rPr>
          <w:lang w:val="en-GB"/>
        </w:rPr>
        <w:t xml:space="preserve">reported </w:t>
      </w:r>
      <w:r w:rsidRPr="00AB2ED0">
        <w:rPr>
          <w:lang w:val="en-GB"/>
        </w:rPr>
        <w:t>date</w:t>
      </w:r>
      <w:r w:rsidR="003649EE" w:rsidRPr="00AB2ED0">
        <w:rPr>
          <w:lang w:val="en-GB"/>
        </w:rPr>
        <w:t>s</w:t>
      </w:r>
      <w:r w:rsidRPr="00AB2ED0">
        <w:rPr>
          <w:lang w:val="en-GB"/>
        </w:rPr>
        <w:t xml:space="preserve"> of disappearance and states in relevant fields: “</w:t>
      </w:r>
      <w:r w:rsidR="000A78D0" w:rsidRPr="00AB2ED0">
        <w:t>Not Enough Reference Samples Collected</w:t>
      </w:r>
      <w:r w:rsidRPr="00AB2ED0">
        <w:rPr>
          <w:lang w:val="en-GB"/>
        </w:rPr>
        <w:t>” and “DNA match not found”.</w:t>
      </w:r>
      <w:bookmarkEnd w:id="11"/>
    </w:p>
    <w:p w:rsidR="00AD7F08" w:rsidRPr="00E879A0" w:rsidRDefault="00AD7F08" w:rsidP="00D64ACA">
      <w:pPr>
        <w:jc w:val="both"/>
      </w:pPr>
    </w:p>
    <w:p w:rsidR="00D64ACA" w:rsidRPr="00AB2ED0" w:rsidRDefault="00D64ACA" w:rsidP="00D64ACA">
      <w:pPr>
        <w:jc w:val="both"/>
        <w:rPr>
          <w:lang w:val="en-GB"/>
        </w:rPr>
      </w:pPr>
      <w:r w:rsidRPr="00E879A0">
        <w:rPr>
          <w:b/>
          <w:lang w:val="en-GB"/>
        </w:rPr>
        <w:t xml:space="preserve">C. The </w:t>
      </w:r>
      <w:r w:rsidRPr="00AB2ED0">
        <w:rPr>
          <w:b/>
          <w:lang w:val="en-GB"/>
        </w:rPr>
        <w:t>investigation</w:t>
      </w:r>
    </w:p>
    <w:p w:rsidR="00D64ACA" w:rsidRPr="00AB2ED0" w:rsidRDefault="00D64ACA" w:rsidP="00D64ACA">
      <w:pPr>
        <w:pStyle w:val="Default"/>
        <w:suppressAutoHyphens/>
        <w:jc w:val="both"/>
        <w:rPr>
          <w:bCs/>
          <w:lang w:val="en-GB"/>
        </w:rPr>
      </w:pPr>
      <w:bookmarkStart w:id="12" w:name="_Ref347322102"/>
    </w:p>
    <w:p w:rsidR="003A4BA6" w:rsidRPr="00AB2ED0" w:rsidRDefault="003A4BA6" w:rsidP="003A4BA6">
      <w:pPr>
        <w:pStyle w:val="Default"/>
        <w:numPr>
          <w:ilvl w:val="0"/>
          <w:numId w:val="2"/>
        </w:numPr>
        <w:tabs>
          <w:tab w:val="left" w:pos="360"/>
        </w:tabs>
        <w:suppressAutoHyphens/>
        <w:jc w:val="both"/>
        <w:rPr>
          <w:bCs/>
          <w:lang w:val="en-GB"/>
        </w:rPr>
      </w:pPr>
      <w:bookmarkStart w:id="13" w:name="_Ref365886120"/>
      <w:bookmarkEnd w:id="12"/>
      <w:r w:rsidRPr="00AB2ED0">
        <w:rPr>
          <w:lang w:val="en-GB"/>
        </w:rPr>
        <w:t>On</w:t>
      </w:r>
      <w:bookmarkStart w:id="14" w:name="_Ref348357381"/>
      <w:r w:rsidRPr="00AB2ED0">
        <w:rPr>
          <w:lang w:val="en-GB"/>
        </w:rPr>
        <w:t xml:space="preserve"> </w:t>
      </w:r>
      <w:r w:rsidR="00E55DF9" w:rsidRPr="00AB2ED0">
        <w:rPr>
          <w:lang w:val="en-GB"/>
        </w:rPr>
        <w:t>12 April 2013</w:t>
      </w:r>
      <w:r w:rsidRPr="00AB2ED0">
        <w:rPr>
          <w:lang w:val="en-GB"/>
        </w:rPr>
        <w:t xml:space="preserve">, </w:t>
      </w:r>
      <w:r w:rsidRPr="00AB2ED0">
        <w:rPr>
          <w:bCs/>
          <w:lang w:val="en-GB"/>
        </w:rPr>
        <w:t xml:space="preserve">UNMIK provided to the Panel documents </w:t>
      </w:r>
      <w:r w:rsidRPr="00AB2ED0">
        <w:rPr>
          <w:lang w:val="en-GB"/>
        </w:rPr>
        <w:t xml:space="preserve">which were previously </w:t>
      </w:r>
      <w:r w:rsidR="00A4015C" w:rsidRPr="00AB2ED0">
        <w:rPr>
          <w:lang w:val="en-GB"/>
        </w:rPr>
        <w:t xml:space="preserve">held </w:t>
      </w:r>
      <w:r w:rsidRPr="00AB2ED0">
        <w:rPr>
          <w:lang w:val="en-GB"/>
        </w:rPr>
        <w:t xml:space="preserve">by the </w:t>
      </w:r>
      <w:r w:rsidR="009A6E2B" w:rsidRPr="00AB2ED0">
        <w:rPr>
          <w:lang w:val="en-GB"/>
        </w:rPr>
        <w:t>UNMIK MPU and WCIU. On 1 April</w:t>
      </w:r>
      <w:r w:rsidRPr="00AB2ED0">
        <w:rPr>
          <w:lang w:val="en-GB"/>
        </w:rPr>
        <w:t xml:space="preserve"> 2015, UNMIK confirmed to the Panel that all files in UNMIK’s possession have been disclosed.</w:t>
      </w:r>
      <w:bookmarkEnd w:id="13"/>
      <w:bookmarkEnd w:id="14"/>
    </w:p>
    <w:p w:rsidR="003A4BA6" w:rsidRPr="00AB2ED0" w:rsidRDefault="003A4BA6" w:rsidP="003A4BA6">
      <w:pPr>
        <w:pStyle w:val="Default"/>
        <w:suppressAutoHyphens/>
        <w:ind w:left="360"/>
        <w:jc w:val="both"/>
        <w:rPr>
          <w:bCs/>
          <w:lang w:val="en-GB"/>
        </w:rPr>
      </w:pPr>
    </w:p>
    <w:p w:rsidR="003A4BA6" w:rsidRPr="00A4015C" w:rsidRDefault="003A4BA6" w:rsidP="003A4BA6">
      <w:pPr>
        <w:widowControl w:val="0"/>
        <w:numPr>
          <w:ilvl w:val="0"/>
          <w:numId w:val="2"/>
        </w:numPr>
        <w:tabs>
          <w:tab w:val="left" w:pos="360"/>
          <w:tab w:val="num" w:pos="630"/>
          <w:tab w:val="left" w:pos="1080"/>
        </w:tabs>
        <w:suppressAutoHyphens/>
        <w:jc w:val="both"/>
        <w:rPr>
          <w:bCs/>
          <w:lang w:val="en-GB"/>
        </w:rPr>
      </w:pPr>
      <w:r w:rsidRPr="00AB2ED0">
        <w:rPr>
          <w:lang w:val="en-GB"/>
        </w:rPr>
        <w:t>Concerning disclosure</w:t>
      </w:r>
      <w:r w:rsidRPr="006B4871">
        <w:rPr>
          <w:lang w:val="en-GB"/>
        </w:rPr>
        <w:t xml:space="preserv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A4015C" w:rsidRDefault="00A4015C" w:rsidP="00A4015C">
      <w:pPr>
        <w:pStyle w:val="ListParagraph"/>
        <w:rPr>
          <w:bCs/>
          <w:lang w:val="en-GB"/>
        </w:rPr>
      </w:pPr>
    </w:p>
    <w:p w:rsidR="00A4015C" w:rsidRPr="00E879A0" w:rsidRDefault="00A4015C" w:rsidP="00A4015C">
      <w:pPr>
        <w:pStyle w:val="ListParagraph"/>
        <w:ind w:left="0"/>
        <w:jc w:val="both"/>
        <w:rPr>
          <w:i/>
          <w:lang w:val="en-GB"/>
        </w:rPr>
      </w:pPr>
      <w:r>
        <w:rPr>
          <w:i/>
          <w:lang w:val="en-GB"/>
        </w:rPr>
        <w:t>OMPF Files</w:t>
      </w:r>
    </w:p>
    <w:p w:rsidR="003A4BA6" w:rsidRPr="001A7437" w:rsidRDefault="003A4BA6" w:rsidP="003A4BA6">
      <w:pPr>
        <w:rPr>
          <w:lang w:val="en-GB"/>
        </w:rPr>
      </w:pPr>
      <w:bookmarkStart w:id="15" w:name="_Ref395005257"/>
    </w:p>
    <w:p w:rsidR="00E55DF9" w:rsidRPr="001A7437" w:rsidRDefault="001F0511" w:rsidP="00E55DF9">
      <w:pPr>
        <w:pStyle w:val="ListParagraph"/>
        <w:widowControl w:val="0"/>
        <w:numPr>
          <w:ilvl w:val="0"/>
          <w:numId w:val="2"/>
        </w:numPr>
        <w:tabs>
          <w:tab w:val="left" w:pos="1080"/>
        </w:tabs>
        <w:jc w:val="both"/>
        <w:rPr>
          <w:bCs/>
          <w:lang w:val="en-GB"/>
        </w:rPr>
      </w:pPr>
      <w:bookmarkStart w:id="16" w:name="_Ref413845941"/>
      <w:bookmarkStart w:id="17" w:name="_Ref418151284"/>
      <w:r w:rsidRPr="001A7437">
        <w:rPr>
          <w:bCs/>
          <w:lang w:val="en-GB"/>
        </w:rPr>
        <w:t>The first document in the investigative</w:t>
      </w:r>
      <w:r w:rsidR="003A4BA6" w:rsidRPr="001A7437">
        <w:rPr>
          <w:bCs/>
          <w:lang w:val="en-GB"/>
        </w:rPr>
        <w:t xml:space="preserve"> file is an </w:t>
      </w:r>
      <w:r w:rsidR="003A4BA6" w:rsidRPr="001A7437">
        <w:rPr>
          <w:lang w:val="en-GB"/>
        </w:rPr>
        <w:t xml:space="preserve">undated </w:t>
      </w:r>
      <w:r w:rsidR="00CD655E" w:rsidRPr="001A7437">
        <w:rPr>
          <w:lang w:val="en-GB"/>
        </w:rPr>
        <w:t xml:space="preserve">Ante-Mortem Victim Identification Form, in </w:t>
      </w:r>
      <w:proofErr w:type="gramStart"/>
      <w:r w:rsidR="00CD655E" w:rsidRPr="001A7437">
        <w:rPr>
          <w:lang w:val="en-GB"/>
        </w:rPr>
        <w:t>Serbian,</w:t>
      </w:r>
      <w:proofErr w:type="gramEnd"/>
      <w:r w:rsidR="00CD655E" w:rsidRPr="001A7437">
        <w:rPr>
          <w:lang w:val="en-GB"/>
        </w:rPr>
        <w:t xml:space="preserve"> affixed with the MPU file no. 2002-000468 and an ICRC file no. BLG-802987PS. Besides containing </w:t>
      </w:r>
      <w:r w:rsidR="00CD655E" w:rsidRPr="001A7437">
        <w:t xml:space="preserve">the </w:t>
      </w:r>
      <w:r w:rsidR="00CD655E" w:rsidRPr="001A7437">
        <w:rPr>
          <w:lang w:val="en-GB"/>
        </w:rPr>
        <w:t xml:space="preserve">personal details and ante-mortem description of </w:t>
      </w:r>
      <w:r w:rsidR="00CD655E" w:rsidRPr="001A7437">
        <w:t xml:space="preserve">Mrs </w:t>
      </w:r>
      <w:proofErr w:type="spellStart"/>
      <w:r w:rsidR="00CD655E" w:rsidRPr="001A7437">
        <w:t>Slavka</w:t>
      </w:r>
      <w:proofErr w:type="spellEnd"/>
      <w:r w:rsidR="00CD655E" w:rsidRPr="001A7437">
        <w:t xml:space="preserve"> </w:t>
      </w:r>
      <w:proofErr w:type="spellStart"/>
      <w:r w:rsidR="00CD655E" w:rsidRPr="001A7437">
        <w:t>Pantović</w:t>
      </w:r>
      <w:proofErr w:type="spellEnd"/>
      <w:r w:rsidR="00CD655E" w:rsidRPr="001A7437">
        <w:rPr>
          <w:lang w:val="en-GB"/>
        </w:rPr>
        <w:t xml:space="preserve">, it provides the name, address and telephone numbers </w:t>
      </w:r>
      <w:r w:rsidR="00523367">
        <w:rPr>
          <w:lang w:val="en-GB"/>
        </w:rPr>
        <w:t xml:space="preserve">of </w:t>
      </w:r>
      <w:r w:rsidR="00CD655E" w:rsidRPr="001A7437">
        <w:rPr>
          <w:lang w:val="en-GB"/>
        </w:rPr>
        <w:t xml:space="preserve">two of her sisters, D.P. and D.M., in Serbia proper. The document also gives </w:t>
      </w:r>
      <w:r w:rsidR="00523367">
        <w:rPr>
          <w:lang w:val="en-GB"/>
        </w:rPr>
        <w:t xml:space="preserve">the </w:t>
      </w:r>
      <w:r w:rsidR="00CD655E" w:rsidRPr="001A7437">
        <w:rPr>
          <w:lang w:val="en-GB"/>
        </w:rPr>
        <w:t xml:space="preserve">date of disappearance </w:t>
      </w:r>
      <w:r w:rsidR="00523367">
        <w:rPr>
          <w:lang w:val="en-GB"/>
        </w:rPr>
        <w:t xml:space="preserve">as </w:t>
      </w:r>
      <w:r w:rsidR="00CD655E" w:rsidRPr="001A7437">
        <w:rPr>
          <w:lang w:val="en-GB"/>
        </w:rPr>
        <w:t xml:space="preserve">13-15 July 1999. An English translation of this Ante-Mortem Victim Identification Form is also included in the file. </w:t>
      </w:r>
      <w:bookmarkEnd w:id="16"/>
      <w:bookmarkEnd w:id="17"/>
    </w:p>
    <w:p w:rsidR="00CD655E" w:rsidRPr="001A7437" w:rsidRDefault="00CD655E" w:rsidP="00CD655E">
      <w:pPr>
        <w:pStyle w:val="ListParagraph"/>
        <w:rPr>
          <w:bCs/>
          <w:lang w:val="en-GB"/>
        </w:rPr>
      </w:pPr>
    </w:p>
    <w:p w:rsidR="00E55DF9" w:rsidRPr="001A7437" w:rsidRDefault="00E55DF9" w:rsidP="00E55DF9">
      <w:pPr>
        <w:pStyle w:val="ListParagraph"/>
        <w:widowControl w:val="0"/>
        <w:numPr>
          <w:ilvl w:val="0"/>
          <w:numId w:val="2"/>
        </w:numPr>
        <w:tabs>
          <w:tab w:val="left" w:pos="1080"/>
        </w:tabs>
        <w:jc w:val="both"/>
        <w:rPr>
          <w:bCs/>
          <w:lang w:val="en-GB"/>
        </w:rPr>
      </w:pPr>
      <w:bookmarkStart w:id="18" w:name="_Ref419388060"/>
      <w:r w:rsidRPr="001A7437">
        <w:rPr>
          <w:bCs/>
          <w:lang w:val="en-GB"/>
        </w:rPr>
        <w:t xml:space="preserve">There is another </w:t>
      </w:r>
      <w:r w:rsidRPr="001A7437">
        <w:rPr>
          <w:lang w:val="en-GB"/>
        </w:rPr>
        <w:t xml:space="preserve">undated Ante-Mortem Victim Identification Form, in Serbian, </w:t>
      </w:r>
      <w:r w:rsidRPr="001A7437">
        <w:rPr>
          <w:bCs/>
          <w:lang w:val="en-GB"/>
        </w:rPr>
        <w:t xml:space="preserve">in the investigative file </w:t>
      </w:r>
      <w:r w:rsidRPr="001A7437">
        <w:rPr>
          <w:lang w:val="en-GB"/>
        </w:rPr>
        <w:t>af</w:t>
      </w:r>
      <w:r w:rsidR="004F410F" w:rsidRPr="001A7437">
        <w:rPr>
          <w:lang w:val="en-GB"/>
        </w:rPr>
        <w:t>fixed with the MPU file no. 2002</w:t>
      </w:r>
      <w:r w:rsidRPr="001A7437">
        <w:rPr>
          <w:lang w:val="en-GB"/>
        </w:rPr>
        <w:t>-000469 and an ICRC file no. BLG-802987</w:t>
      </w:r>
      <w:r w:rsidR="004F410F" w:rsidRPr="001A7437">
        <w:rPr>
          <w:lang w:val="en-GB"/>
        </w:rPr>
        <w:t>PM</w:t>
      </w:r>
      <w:r w:rsidRPr="001A7437">
        <w:rPr>
          <w:lang w:val="en-GB"/>
        </w:rPr>
        <w:t xml:space="preserve">. Besides containing </w:t>
      </w:r>
      <w:r w:rsidRPr="001A7437">
        <w:t xml:space="preserve">the </w:t>
      </w:r>
      <w:r w:rsidRPr="001A7437">
        <w:rPr>
          <w:lang w:val="en-GB"/>
        </w:rPr>
        <w:t xml:space="preserve">personal details and ante-mortem description of </w:t>
      </w:r>
      <w:r w:rsidR="004F410F" w:rsidRPr="001A7437">
        <w:t>Mr</w:t>
      </w:r>
      <w:r w:rsidRPr="001A7437">
        <w:t xml:space="preserve"> </w:t>
      </w:r>
      <w:proofErr w:type="spellStart"/>
      <w:r w:rsidR="004F410F" w:rsidRPr="001A7437">
        <w:t>Milić</w:t>
      </w:r>
      <w:proofErr w:type="spellEnd"/>
      <w:r w:rsidR="004F410F" w:rsidRPr="001A7437">
        <w:t xml:space="preserve"> </w:t>
      </w:r>
      <w:proofErr w:type="spellStart"/>
      <w:r w:rsidRPr="001A7437">
        <w:t>Pantović</w:t>
      </w:r>
      <w:proofErr w:type="spellEnd"/>
      <w:r w:rsidRPr="001A7437">
        <w:rPr>
          <w:lang w:val="en-GB"/>
        </w:rPr>
        <w:t xml:space="preserve">, it provides the name, address and telephone numbers of the complainant and </w:t>
      </w:r>
      <w:r w:rsidR="00A4015C" w:rsidRPr="001A7437">
        <w:rPr>
          <w:lang w:val="en-GB"/>
        </w:rPr>
        <w:t>a</w:t>
      </w:r>
      <w:r w:rsidRPr="001A7437">
        <w:rPr>
          <w:lang w:val="en-GB"/>
        </w:rPr>
        <w:t xml:space="preserve"> niece</w:t>
      </w:r>
      <w:r w:rsidR="00176699">
        <w:rPr>
          <w:lang w:val="en-GB"/>
        </w:rPr>
        <w:t xml:space="preserve"> of Mr </w:t>
      </w:r>
      <w:proofErr w:type="spellStart"/>
      <w:r w:rsidR="00176699">
        <w:rPr>
          <w:lang w:val="en-GB"/>
        </w:rPr>
        <w:t>Milić</w:t>
      </w:r>
      <w:proofErr w:type="spellEnd"/>
      <w:r w:rsidR="00176699">
        <w:rPr>
          <w:lang w:val="en-GB"/>
        </w:rPr>
        <w:t xml:space="preserve"> </w:t>
      </w:r>
      <w:proofErr w:type="spellStart"/>
      <w:r w:rsidR="00176699">
        <w:rPr>
          <w:lang w:val="en-GB"/>
        </w:rPr>
        <w:t>Pantović</w:t>
      </w:r>
      <w:proofErr w:type="spellEnd"/>
      <w:r w:rsidR="00A4015C" w:rsidRPr="001A7437">
        <w:rPr>
          <w:lang w:val="en-GB"/>
        </w:rPr>
        <w:t>, Z.R.,</w:t>
      </w:r>
      <w:r w:rsidRPr="001A7437">
        <w:rPr>
          <w:lang w:val="en-GB"/>
        </w:rPr>
        <w:t xml:space="preserve"> in Serbia proper.</w:t>
      </w:r>
      <w:r w:rsidR="004F410F" w:rsidRPr="001A7437">
        <w:rPr>
          <w:lang w:val="en-GB"/>
        </w:rPr>
        <w:t xml:space="preserve"> </w:t>
      </w:r>
      <w:r w:rsidR="00A66B52" w:rsidRPr="001A7437">
        <w:rPr>
          <w:lang w:val="en-GB"/>
        </w:rPr>
        <w:t xml:space="preserve">The document also gives a date of disappearance of 13-15 July 1999. </w:t>
      </w:r>
      <w:r w:rsidR="004F410F" w:rsidRPr="001A7437">
        <w:rPr>
          <w:lang w:val="en-GB"/>
        </w:rPr>
        <w:t>An English translation of this Ante-Mortem Victim Identification Form is also included in the file.</w:t>
      </w:r>
      <w:bookmarkEnd w:id="18"/>
      <w:r w:rsidR="00A66B52" w:rsidRPr="001A7437">
        <w:rPr>
          <w:lang w:val="en-GB"/>
        </w:rPr>
        <w:t xml:space="preserve"> </w:t>
      </w:r>
    </w:p>
    <w:p w:rsidR="004F410F" w:rsidRPr="001A7437" w:rsidRDefault="004F410F" w:rsidP="004F410F">
      <w:pPr>
        <w:pStyle w:val="ListParagraph"/>
        <w:rPr>
          <w:bCs/>
          <w:lang w:val="en-GB"/>
        </w:rPr>
      </w:pPr>
    </w:p>
    <w:p w:rsidR="00CD655E" w:rsidRPr="001A7437" w:rsidRDefault="004F410F" w:rsidP="00CD655E">
      <w:pPr>
        <w:pStyle w:val="ListParagraph"/>
        <w:widowControl w:val="0"/>
        <w:numPr>
          <w:ilvl w:val="0"/>
          <w:numId w:val="2"/>
        </w:numPr>
        <w:tabs>
          <w:tab w:val="left" w:pos="1080"/>
        </w:tabs>
        <w:jc w:val="both"/>
        <w:rPr>
          <w:bCs/>
          <w:lang w:val="en-GB"/>
        </w:rPr>
      </w:pPr>
      <w:bookmarkStart w:id="19" w:name="_Ref419388079"/>
      <w:r w:rsidRPr="001A7437">
        <w:rPr>
          <w:bCs/>
          <w:lang w:val="en-GB"/>
        </w:rPr>
        <w:t xml:space="preserve">There is a third </w:t>
      </w:r>
      <w:r w:rsidRPr="001A7437">
        <w:rPr>
          <w:lang w:val="en-GB"/>
        </w:rPr>
        <w:t xml:space="preserve">undated </w:t>
      </w:r>
      <w:r w:rsidR="00CD655E" w:rsidRPr="001A7437">
        <w:rPr>
          <w:lang w:val="en-GB"/>
        </w:rPr>
        <w:t xml:space="preserve">Ante-Mortem Victim Identification Form, in Serbian, affixed with the MPU file no. 2003-000052 and an ICRC </w:t>
      </w:r>
      <w:proofErr w:type="gramStart"/>
      <w:r w:rsidR="00CD655E" w:rsidRPr="001A7437">
        <w:rPr>
          <w:lang w:val="en-GB"/>
        </w:rPr>
        <w:t>file</w:t>
      </w:r>
      <w:proofErr w:type="gramEnd"/>
      <w:r w:rsidR="00CD655E" w:rsidRPr="001A7437">
        <w:rPr>
          <w:lang w:val="en-GB"/>
        </w:rPr>
        <w:t xml:space="preserve"> no. BLG-802989PM. Besides containing </w:t>
      </w:r>
      <w:r w:rsidR="00CD655E" w:rsidRPr="001A7437">
        <w:t xml:space="preserve">the </w:t>
      </w:r>
      <w:r w:rsidR="00CD655E" w:rsidRPr="001A7437">
        <w:rPr>
          <w:lang w:val="en-GB"/>
        </w:rPr>
        <w:t xml:space="preserve">personal details and ante-mortem description of </w:t>
      </w:r>
      <w:r w:rsidR="00CD655E" w:rsidRPr="001A7437">
        <w:t xml:space="preserve">Mrs </w:t>
      </w:r>
      <w:proofErr w:type="spellStart"/>
      <w:r w:rsidR="00CD655E" w:rsidRPr="001A7437">
        <w:t>Mileva</w:t>
      </w:r>
      <w:proofErr w:type="spellEnd"/>
      <w:r w:rsidR="00CD655E" w:rsidRPr="001A7437">
        <w:t xml:space="preserve"> </w:t>
      </w:r>
      <w:proofErr w:type="spellStart"/>
      <w:r w:rsidR="00CD655E" w:rsidRPr="001A7437">
        <w:t>Pantović</w:t>
      </w:r>
      <w:proofErr w:type="spellEnd"/>
      <w:r w:rsidR="00CD655E" w:rsidRPr="001A7437">
        <w:rPr>
          <w:lang w:val="en-GB"/>
        </w:rPr>
        <w:t>, it provides the name, address and telephone numbers of the complainan</w:t>
      </w:r>
      <w:r w:rsidR="00CD655E" w:rsidRPr="00176699">
        <w:rPr>
          <w:lang w:val="en-GB"/>
        </w:rPr>
        <w:t>t</w:t>
      </w:r>
      <w:r w:rsidR="00A4015C" w:rsidRPr="00176699">
        <w:rPr>
          <w:lang w:val="en-GB"/>
        </w:rPr>
        <w:t>, who is listed as</w:t>
      </w:r>
      <w:r w:rsidR="00176699" w:rsidRPr="00176699">
        <w:rPr>
          <w:lang w:val="en-GB"/>
        </w:rPr>
        <w:t xml:space="preserve"> the </w:t>
      </w:r>
      <w:r w:rsidR="00A4015C" w:rsidRPr="00176699">
        <w:rPr>
          <w:lang w:val="en-GB"/>
        </w:rPr>
        <w:t>nephew</w:t>
      </w:r>
      <w:r w:rsidR="00176699" w:rsidRPr="00176699">
        <w:rPr>
          <w:lang w:val="en-GB"/>
        </w:rPr>
        <w:t xml:space="preserve"> of Mrs </w:t>
      </w:r>
      <w:proofErr w:type="spellStart"/>
      <w:r w:rsidR="00176699" w:rsidRPr="00176699">
        <w:rPr>
          <w:lang w:val="en-GB"/>
        </w:rPr>
        <w:t>Mileva</w:t>
      </w:r>
      <w:proofErr w:type="spellEnd"/>
      <w:r w:rsidR="00176699" w:rsidRPr="00176699">
        <w:rPr>
          <w:lang w:val="en-GB"/>
        </w:rPr>
        <w:t xml:space="preserve"> </w:t>
      </w:r>
      <w:proofErr w:type="spellStart"/>
      <w:r w:rsidR="00176699" w:rsidRPr="00176699">
        <w:rPr>
          <w:lang w:val="en-GB"/>
        </w:rPr>
        <w:t>Pantović</w:t>
      </w:r>
      <w:proofErr w:type="spellEnd"/>
      <w:r w:rsidR="00523367">
        <w:rPr>
          <w:lang w:val="en-GB"/>
        </w:rPr>
        <w:t>, and Z.R., who</w:t>
      </w:r>
      <w:r w:rsidR="00A4015C" w:rsidRPr="00176699">
        <w:rPr>
          <w:lang w:val="en-GB"/>
        </w:rPr>
        <w:t xml:space="preserve"> </w:t>
      </w:r>
      <w:r w:rsidR="00176699" w:rsidRPr="00176699">
        <w:rPr>
          <w:lang w:val="en-GB"/>
        </w:rPr>
        <w:t xml:space="preserve">is listed as her </w:t>
      </w:r>
      <w:r w:rsidR="00CD655E" w:rsidRPr="00176699">
        <w:rPr>
          <w:lang w:val="en-GB"/>
        </w:rPr>
        <w:t xml:space="preserve">niece in </w:t>
      </w:r>
      <w:r w:rsidR="00CD655E" w:rsidRPr="001A7437">
        <w:rPr>
          <w:lang w:val="en-GB"/>
        </w:rPr>
        <w:t xml:space="preserve">Serbia proper. The document also gives </w:t>
      </w:r>
      <w:r w:rsidR="00523367">
        <w:rPr>
          <w:lang w:val="en-GB"/>
        </w:rPr>
        <w:t>the</w:t>
      </w:r>
      <w:r w:rsidR="00CD655E" w:rsidRPr="001A7437">
        <w:rPr>
          <w:lang w:val="en-GB"/>
        </w:rPr>
        <w:t xml:space="preserve"> date of disappearance </w:t>
      </w:r>
      <w:r w:rsidR="00523367">
        <w:rPr>
          <w:lang w:val="en-GB"/>
        </w:rPr>
        <w:t xml:space="preserve">as </w:t>
      </w:r>
      <w:r w:rsidR="00CD655E" w:rsidRPr="001A7437">
        <w:rPr>
          <w:lang w:val="en-GB"/>
        </w:rPr>
        <w:t>13-15 July 1999.</w:t>
      </w:r>
      <w:bookmarkEnd w:id="19"/>
    </w:p>
    <w:p w:rsidR="0038684A" w:rsidRPr="001A7437" w:rsidRDefault="0038684A" w:rsidP="0038684A">
      <w:pPr>
        <w:pStyle w:val="ListParagraph"/>
        <w:rPr>
          <w:bCs/>
          <w:lang w:val="en-GB"/>
        </w:rPr>
      </w:pPr>
    </w:p>
    <w:p w:rsidR="0038684A" w:rsidRPr="001A7437" w:rsidRDefault="0038684A" w:rsidP="0038684A">
      <w:pPr>
        <w:widowControl w:val="0"/>
        <w:numPr>
          <w:ilvl w:val="0"/>
          <w:numId w:val="2"/>
        </w:numPr>
        <w:tabs>
          <w:tab w:val="left" w:pos="360"/>
          <w:tab w:val="num" w:pos="630"/>
          <w:tab w:val="left" w:pos="1080"/>
        </w:tabs>
        <w:suppressAutoHyphens/>
        <w:jc w:val="both"/>
        <w:rPr>
          <w:lang w:val="en-GB"/>
        </w:rPr>
      </w:pPr>
      <w:bookmarkStart w:id="20" w:name="_Ref418178825"/>
      <w:r w:rsidRPr="001A7437">
        <w:rPr>
          <w:lang w:val="en-GB"/>
        </w:rPr>
        <w:t xml:space="preserve">The file contains separate MPU Case Continuation Reports for Mrs </w:t>
      </w:r>
      <w:proofErr w:type="spellStart"/>
      <w:r w:rsidRPr="001A7437">
        <w:rPr>
          <w:lang w:val="en-GB"/>
        </w:rPr>
        <w:t>Slavka</w:t>
      </w:r>
      <w:proofErr w:type="spellEnd"/>
      <w:r w:rsidRPr="001A7437">
        <w:rPr>
          <w:lang w:val="en-GB"/>
        </w:rPr>
        <w:t xml:space="preserve"> </w:t>
      </w:r>
      <w:proofErr w:type="spellStart"/>
      <w:r w:rsidRPr="001A7437">
        <w:rPr>
          <w:lang w:val="en-GB"/>
        </w:rPr>
        <w:t>Pantović</w:t>
      </w:r>
      <w:proofErr w:type="spellEnd"/>
      <w:r w:rsidRPr="001A7437">
        <w:rPr>
          <w:lang w:val="en-GB"/>
        </w:rPr>
        <w:t xml:space="preserve">, Mr </w:t>
      </w:r>
      <w:proofErr w:type="spellStart"/>
      <w:r w:rsidRPr="001A7437">
        <w:rPr>
          <w:lang w:val="en-GB"/>
        </w:rPr>
        <w:t>Milić</w:t>
      </w:r>
      <w:proofErr w:type="spellEnd"/>
      <w:r w:rsidRPr="001A7437">
        <w:rPr>
          <w:lang w:val="en-GB"/>
        </w:rPr>
        <w:t xml:space="preserve"> </w:t>
      </w:r>
      <w:proofErr w:type="spellStart"/>
      <w:r w:rsidRPr="001A7437">
        <w:rPr>
          <w:lang w:val="en-GB"/>
        </w:rPr>
        <w:t>Pantović</w:t>
      </w:r>
      <w:proofErr w:type="spellEnd"/>
      <w:r w:rsidRPr="001A7437">
        <w:rPr>
          <w:lang w:val="en-GB"/>
        </w:rPr>
        <w:t xml:space="preserve"> and Mrs </w:t>
      </w:r>
      <w:proofErr w:type="spellStart"/>
      <w:r w:rsidRPr="001A7437">
        <w:rPr>
          <w:lang w:val="en-GB"/>
        </w:rPr>
        <w:t>Mileva</w:t>
      </w:r>
      <w:proofErr w:type="spellEnd"/>
      <w:r w:rsidRPr="001A7437">
        <w:rPr>
          <w:lang w:val="en-GB"/>
        </w:rPr>
        <w:t xml:space="preserve"> </w:t>
      </w:r>
      <w:proofErr w:type="spellStart"/>
      <w:r w:rsidRPr="001A7437">
        <w:rPr>
          <w:lang w:val="en-GB"/>
        </w:rPr>
        <w:t>Pantović</w:t>
      </w:r>
      <w:proofErr w:type="spellEnd"/>
      <w:r w:rsidR="007833CF" w:rsidRPr="001A7437">
        <w:rPr>
          <w:lang w:val="en-GB"/>
        </w:rPr>
        <w:t>.</w:t>
      </w:r>
      <w:r w:rsidR="00DC637D" w:rsidRPr="001A7437">
        <w:rPr>
          <w:lang w:val="en-GB"/>
        </w:rPr>
        <w:t xml:space="preserve"> T</w:t>
      </w:r>
      <w:r w:rsidRPr="001A7437">
        <w:rPr>
          <w:lang w:val="en-GB"/>
        </w:rPr>
        <w:t>he first regarding Slavka Pantović, indicating file no. 2002-000468,</w:t>
      </w:r>
      <w:r w:rsidR="00523367">
        <w:rPr>
          <w:lang w:val="en-GB"/>
        </w:rPr>
        <w:t xml:space="preserve"> contains three entries; two </w:t>
      </w:r>
      <w:r w:rsidRPr="001A7437">
        <w:rPr>
          <w:lang w:val="en-GB"/>
        </w:rPr>
        <w:t>are dated 21 May 2002</w:t>
      </w:r>
      <w:r w:rsidR="00523367">
        <w:rPr>
          <w:lang w:val="en-GB"/>
        </w:rPr>
        <w:t>,</w:t>
      </w:r>
      <w:r w:rsidRPr="001A7437">
        <w:rPr>
          <w:lang w:val="en-GB"/>
        </w:rPr>
        <w:t xml:space="preserve"> stating “Input DB ok” and “Input DVI ok” and a third entry</w:t>
      </w:r>
      <w:r w:rsidR="00DC637D" w:rsidRPr="001A7437">
        <w:rPr>
          <w:lang w:val="en-GB"/>
        </w:rPr>
        <w:t>,</w:t>
      </w:r>
      <w:r w:rsidRPr="001A7437">
        <w:rPr>
          <w:lang w:val="en-GB"/>
        </w:rPr>
        <w:t xml:space="preserve"> dated 20 June 2002</w:t>
      </w:r>
      <w:r w:rsidR="00DC637D" w:rsidRPr="001A7437">
        <w:rPr>
          <w:lang w:val="en-GB"/>
        </w:rPr>
        <w:t>,</w:t>
      </w:r>
      <w:r w:rsidRPr="001A7437">
        <w:rPr>
          <w:lang w:val="en-GB"/>
        </w:rPr>
        <w:t xml:space="preserve"> stating “Added duplicate from ICRC</w:t>
      </w:r>
      <w:r w:rsidR="00523367">
        <w:rPr>
          <w:lang w:val="en-GB"/>
        </w:rPr>
        <w:t xml:space="preserve">”. The next report, </w:t>
      </w:r>
      <w:r w:rsidRPr="001A7437">
        <w:rPr>
          <w:lang w:val="en-GB"/>
        </w:rPr>
        <w:t xml:space="preserve">regarding </w:t>
      </w:r>
      <w:r w:rsidR="00015CDA" w:rsidRPr="001A7437">
        <w:rPr>
          <w:lang w:val="en-GB"/>
        </w:rPr>
        <w:t xml:space="preserve">Mr </w:t>
      </w:r>
      <w:proofErr w:type="spellStart"/>
      <w:r w:rsidRPr="001A7437">
        <w:rPr>
          <w:lang w:val="en-GB"/>
        </w:rPr>
        <w:t>Milić</w:t>
      </w:r>
      <w:proofErr w:type="spellEnd"/>
      <w:r w:rsidRPr="001A7437">
        <w:rPr>
          <w:lang w:val="en-GB"/>
        </w:rPr>
        <w:t xml:space="preserve"> </w:t>
      </w:r>
      <w:proofErr w:type="spellStart"/>
      <w:r w:rsidRPr="001A7437">
        <w:rPr>
          <w:lang w:val="en-GB"/>
        </w:rPr>
        <w:t>Pantović</w:t>
      </w:r>
      <w:proofErr w:type="spellEnd"/>
      <w:r w:rsidRPr="001A7437">
        <w:rPr>
          <w:lang w:val="en-GB"/>
        </w:rPr>
        <w:t>, indicating file no. 2002-000469, contains two entries,</w:t>
      </w:r>
      <w:r w:rsidR="00523367">
        <w:rPr>
          <w:lang w:val="en-GB"/>
        </w:rPr>
        <w:t xml:space="preserve"> both</w:t>
      </w:r>
      <w:r w:rsidRPr="001A7437">
        <w:rPr>
          <w:lang w:val="en-GB"/>
        </w:rPr>
        <w:t xml:space="preserve"> dated 21 May 2002, stating “Input DB ok” and “Input DVI ok” There is also an undated entry stating “Potential match in FSA17-001B”. The third report</w:t>
      </w:r>
      <w:r w:rsidR="00523367">
        <w:rPr>
          <w:lang w:val="en-GB"/>
        </w:rPr>
        <w:t>,</w:t>
      </w:r>
      <w:r w:rsidRPr="001A7437">
        <w:rPr>
          <w:lang w:val="en-GB"/>
        </w:rPr>
        <w:t xml:space="preserve"> </w:t>
      </w:r>
      <w:r w:rsidRPr="001A7437">
        <w:rPr>
          <w:lang w:val="en-GB"/>
        </w:rPr>
        <w:lastRenderedPageBreak/>
        <w:t xml:space="preserve">regarding </w:t>
      </w:r>
      <w:proofErr w:type="spellStart"/>
      <w:r w:rsidRPr="001A7437">
        <w:rPr>
          <w:lang w:val="en-GB"/>
        </w:rPr>
        <w:t>Mileva</w:t>
      </w:r>
      <w:proofErr w:type="spellEnd"/>
      <w:r w:rsidRPr="001A7437">
        <w:rPr>
          <w:lang w:val="en-GB"/>
        </w:rPr>
        <w:t xml:space="preserve"> </w:t>
      </w:r>
      <w:proofErr w:type="spellStart"/>
      <w:r w:rsidRPr="001A7437">
        <w:rPr>
          <w:lang w:val="en-GB"/>
        </w:rPr>
        <w:t>Pantović</w:t>
      </w:r>
      <w:proofErr w:type="spellEnd"/>
      <w:r w:rsidRPr="001A7437">
        <w:rPr>
          <w:lang w:val="en-GB"/>
        </w:rPr>
        <w:t>, indicating file no. 2003-000052, contains two entries, dated 1 April 2003</w:t>
      </w:r>
      <w:r w:rsidR="00523367">
        <w:rPr>
          <w:lang w:val="en-GB"/>
        </w:rPr>
        <w:t xml:space="preserve"> and</w:t>
      </w:r>
      <w:r w:rsidRPr="001A7437">
        <w:rPr>
          <w:lang w:val="en-GB"/>
        </w:rPr>
        <w:t xml:space="preserve"> stating “Input DB ok” and “Input DVI ok”.</w:t>
      </w:r>
      <w:bookmarkEnd w:id="20"/>
    </w:p>
    <w:p w:rsidR="009E1DBF" w:rsidRPr="001A7437" w:rsidRDefault="009E1DBF" w:rsidP="009E1DBF">
      <w:pPr>
        <w:pStyle w:val="ListParagraph"/>
        <w:rPr>
          <w:bCs/>
          <w:lang w:val="en-GB"/>
        </w:rPr>
      </w:pPr>
    </w:p>
    <w:p w:rsidR="009E1DBF" w:rsidRPr="001A7437" w:rsidRDefault="009E1DBF" w:rsidP="009E1DBF">
      <w:pPr>
        <w:pStyle w:val="ListParagraph"/>
        <w:widowControl w:val="0"/>
        <w:numPr>
          <w:ilvl w:val="0"/>
          <w:numId w:val="2"/>
        </w:numPr>
        <w:tabs>
          <w:tab w:val="left" w:pos="1080"/>
        </w:tabs>
        <w:jc w:val="both"/>
        <w:rPr>
          <w:bCs/>
          <w:lang w:val="en-GB"/>
        </w:rPr>
      </w:pPr>
      <w:r w:rsidRPr="001A7437">
        <w:rPr>
          <w:bCs/>
          <w:lang w:val="en-GB"/>
        </w:rPr>
        <w:t xml:space="preserve">The file </w:t>
      </w:r>
      <w:r w:rsidR="00DC637D" w:rsidRPr="001A7437">
        <w:rPr>
          <w:bCs/>
          <w:lang w:val="en-GB"/>
        </w:rPr>
        <w:t xml:space="preserve">further </w:t>
      </w:r>
      <w:r w:rsidRPr="001A7437">
        <w:rPr>
          <w:bCs/>
          <w:lang w:val="en-GB"/>
        </w:rPr>
        <w:t xml:space="preserve">contains a printout, dated 20 October 2002, from the UNMIK Police Liaison Office in Belgrade titled “Serbian Missing Persons in Djakovica”. The printout contains 50 names, dates of birth and gender, including those of </w:t>
      </w:r>
      <w:r w:rsidRPr="001A7437">
        <w:rPr>
          <w:lang w:val="en-GB"/>
        </w:rPr>
        <w:t xml:space="preserve">Mrs </w:t>
      </w:r>
      <w:proofErr w:type="spellStart"/>
      <w:r w:rsidRPr="001A7437">
        <w:rPr>
          <w:lang w:val="en-GB"/>
        </w:rPr>
        <w:t>Slavka</w:t>
      </w:r>
      <w:proofErr w:type="spellEnd"/>
      <w:r w:rsidRPr="001A7437">
        <w:rPr>
          <w:lang w:val="en-GB"/>
        </w:rPr>
        <w:t xml:space="preserve"> </w:t>
      </w:r>
      <w:proofErr w:type="spellStart"/>
      <w:r w:rsidRPr="001A7437">
        <w:rPr>
          <w:lang w:val="en-GB"/>
        </w:rPr>
        <w:t>Pantović</w:t>
      </w:r>
      <w:proofErr w:type="spellEnd"/>
      <w:r w:rsidRPr="001A7437">
        <w:rPr>
          <w:lang w:val="en-GB"/>
        </w:rPr>
        <w:t xml:space="preserve">, Mr </w:t>
      </w:r>
      <w:proofErr w:type="spellStart"/>
      <w:r w:rsidRPr="001A7437">
        <w:rPr>
          <w:lang w:val="en-GB"/>
        </w:rPr>
        <w:t>Milić</w:t>
      </w:r>
      <w:proofErr w:type="spellEnd"/>
      <w:r w:rsidRPr="001A7437">
        <w:rPr>
          <w:lang w:val="en-GB"/>
        </w:rPr>
        <w:t xml:space="preserve"> </w:t>
      </w:r>
      <w:proofErr w:type="spellStart"/>
      <w:r w:rsidRPr="001A7437">
        <w:rPr>
          <w:lang w:val="en-GB"/>
        </w:rPr>
        <w:t>Pantović</w:t>
      </w:r>
      <w:proofErr w:type="spellEnd"/>
      <w:r w:rsidRPr="001A7437">
        <w:rPr>
          <w:lang w:val="en-GB"/>
        </w:rPr>
        <w:t xml:space="preserve"> and Mrs </w:t>
      </w:r>
      <w:proofErr w:type="spellStart"/>
      <w:r w:rsidRPr="001A7437">
        <w:rPr>
          <w:lang w:val="en-GB"/>
        </w:rPr>
        <w:t>Mileva</w:t>
      </w:r>
      <w:proofErr w:type="spellEnd"/>
      <w:r w:rsidRPr="001A7437">
        <w:rPr>
          <w:lang w:val="en-GB"/>
        </w:rPr>
        <w:t xml:space="preserve"> </w:t>
      </w:r>
      <w:proofErr w:type="spellStart"/>
      <w:r w:rsidRPr="001A7437">
        <w:rPr>
          <w:lang w:val="en-GB"/>
        </w:rPr>
        <w:t>Pantović</w:t>
      </w:r>
      <w:proofErr w:type="spellEnd"/>
      <w:r w:rsidRPr="001A7437">
        <w:rPr>
          <w:lang w:val="en-GB"/>
        </w:rPr>
        <w:t>.</w:t>
      </w:r>
    </w:p>
    <w:p w:rsidR="009E1DBF" w:rsidRPr="001A7437" w:rsidRDefault="009E1DBF" w:rsidP="009E1DBF">
      <w:pPr>
        <w:pStyle w:val="ListParagraph"/>
        <w:rPr>
          <w:bCs/>
          <w:lang w:val="en-GB"/>
        </w:rPr>
      </w:pPr>
    </w:p>
    <w:p w:rsidR="009E1DBF" w:rsidRPr="001A7437" w:rsidRDefault="00BE177E" w:rsidP="009E1DBF">
      <w:pPr>
        <w:pStyle w:val="ListParagraph"/>
        <w:widowControl w:val="0"/>
        <w:numPr>
          <w:ilvl w:val="0"/>
          <w:numId w:val="2"/>
        </w:numPr>
        <w:tabs>
          <w:tab w:val="left" w:pos="1080"/>
        </w:tabs>
        <w:jc w:val="both"/>
        <w:rPr>
          <w:bCs/>
          <w:lang w:val="en-GB"/>
        </w:rPr>
      </w:pPr>
      <w:r w:rsidRPr="001A7437">
        <w:rPr>
          <w:bCs/>
          <w:lang w:val="en-GB"/>
        </w:rPr>
        <w:t>There is an untitled document with the UNMIK logo in the file</w:t>
      </w:r>
      <w:r w:rsidR="00A92BCC" w:rsidRPr="001A7437">
        <w:rPr>
          <w:bCs/>
          <w:lang w:val="en-GB"/>
        </w:rPr>
        <w:t>,</w:t>
      </w:r>
      <w:r w:rsidRPr="001A7437">
        <w:rPr>
          <w:bCs/>
          <w:lang w:val="en-GB"/>
        </w:rPr>
        <w:t xml:space="preserve"> </w:t>
      </w:r>
      <w:r w:rsidR="00A92BCC" w:rsidRPr="001A7437">
        <w:rPr>
          <w:bCs/>
          <w:lang w:val="en-GB"/>
        </w:rPr>
        <w:t xml:space="preserve">providing </w:t>
      </w:r>
      <w:r w:rsidRPr="001A7437">
        <w:rPr>
          <w:bCs/>
          <w:lang w:val="en-GB"/>
        </w:rPr>
        <w:t xml:space="preserve">detailed notes of an exhumation that was carried out </w:t>
      </w:r>
      <w:r w:rsidR="00A92BCC" w:rsidRPr="001A7437">
        <w:rPr>
          <w:bCs/>
          <w:lang w:val="en-GB"/>
        </w:rPr>
        <w:t>from 30 September -</w:t>
      </w:r>
      <w:r w:rsidRPr="001A7437">
        <w:rPr>
          <w:bCs/>
          <w:lang w:val="en-GB"/>
        </w:rPr>
        <w:t xml:space="preserve"> 02 October 2002 in the municipality of </w:t>
      </w:r>
      <w:proofErr w:type="spellStart"/>
      <w:r w:rsidRPr="001A7437">
        <w:rPr>
          <w:lang w:val="en-GB"/>
        </w:rPr>
        <w:t>Gjakovё</w:t>
      </w:r>
      <w:proofErr w:type="spellEnd"/>
      <w:r w:rsidRPr="001A7437">
        <w:rPr>
          <w:lang w:val="en-GB"/>
        </w:rPr>
        <w:t>/</w:t>
      </w:r>
      <w:proofErr w:type="spellStart"/>
      <w:r w:rsidRPr="001A7437">
        <w:rPr>
          <w:lang w:val="en-GB"/>
        </w:rPr>
        <w:t>Ðakovica</w:t>
      </w:r>
      <w:proofErr w:type="spellEnd"/>
      <w:r w:rsidRPr="001A7437">
        <w:rPr>
          <w:lang w:val="en-GB"/>
        </w:rPr>
        <w:t xml:space="preserve"> in the village of </w:t>
      </w:r>
      <w:proofErr w:type="spellStart"/>
      <w:r w:rsidR="00015CDA" w:rsidRPr="001A7437">
        <w:rPr>
          <w:lang w:val="en-GB"/>
        </w:rPr>
        <w:t>Brekovc</w:t>
      </w:r>
      <w:proofErr w:type="spellEnd"/>
      <w:r w:rsidR="00015CDA" w:rsidRPr="001A7437">
        <w:rPr>
          <w:lang w:val="en-GB"/>
        </w:rPr>
        <w:t>/</w:t>
      </w:r>
      <w:proofErr w:type="spellStart"/>
      <w:r w:rsidRPr="001A7437">
        <w:rPr>
          <w:lang w:val="en-GB"/>
        </w:rPr>
        <w:t>Brekovac</w:t>
      </w:r>
      <w:proofErr w:type="spellEnd"/>
      <w:r w:rsidRPr="001A7437">
        <w:rPr>
          <w:lang w:val="en-GB"/>
        </w:rPr>
        <w:t>. The document has a site no. EX2002-135</w:t>
      </w:r>
      <w:r w:rsidR="00523367">
        <w:rPr>
          <w:lang w:val="en-GB"/>
        </w:rPr>
        <w:t>,</w:t>
      </w:r>
      <w:r w:rsidRPr="001A7437">
        <w:rPr>
          <w:lang w:val="en-GB"/>
        </w:rPr>
        <w:t xml:space="preserve"> a site code no. FSA17 and</w:t>
      </w:r>
      <w:r w:rsidR="00FC3745" w:rsidRPr="001A7437">
        <w:rPr>
          <w:lang w:val="en-GB"/>
        </w:rPr>
        <w:t xml:space="preserve"> investigation</w:t>
      </w:r>
      <w:r w:rsidRPr="001A7437">
        <w:rPr>
          <w:lang w:val="en-GB"/>
        </w:rPr>
        <w:t xml:space="preserve"> no. 0313/INV/02. The document includes details of 28 bodies that were exhumed from this location. The entry date of the report is 25 June 2003. The fields indicating the </w:t>
      </w:r>
      <w:r w:rsidR="00523367">
        <w:rPr>
          <w:lang w:val="en-GB"/>
        </w:rPr>
        <w:t xml:space="preserve">details of the </w:t>
      </w:r>
      <w:r w:rsidRPr="001A7437">
        <w:rPr>
          <w:lang w:val="en-GB"/>
        </w:rPr>
        <w:t>missing person details are all blank.</w:t>
      </w:r>
      <w:r w:rsidR="00B11BFA" w:rsidRPr="001A7437">
        <w:rPr>
          <w:lang w:val="en-GB"/>
        </w:rPr>
        <w:t xml:space="preserve"> There is also </w:t>
      </w:r>
      <w:r w:rsidR="00523367">
        <w:rPr>
          <w:lang w:val="en-GB"/>
        </w:rPr>
        <w:t xml:space="preserve">a </w:t>
      </w:r>
      <w:r w:rsidR="00B11BFA" w:rsidRPr="001A7437">
        <w:rPr>
          <w:lang w:val="en-GB"/>
        </w:rPr>
        <w:t xml:space="preserve">printout of a database screenshot titled “Case listing and date entry form” containing site code no. FSA17 for the date of 1 October 2002. </w:t>
      </w:r>
      <w:r w:rsidR="00607A6D" w:rsidRPr="001A7437">
        <w:rPr>
          <w:lang w:val="en-GB"/>
        </w:rPr>
        <w:t xml:space="preserve">There is also a document attached titled “Overview for site name </w:t>
      </w:r>
      <w:proofErr w:type="spellStart"/>
      <w:r w:rsidR="00607A6D" w:rsidRPr="001A7437">
        <w:rPr>
          <w:lang w:val="en-GB"/>
        </w:rPr>
        <w:t>Brekovac</w:t>
      </w:r>
      <w:proofErr w:type="spellEnd"/>
      <w:r w:rsidR="00607A6D" w:rsidRPr="001A7437">
        <w:rPr>
          <w:lang w:val="en-GB"/>
        </w:rPr>
        <w:t xml:space="preserve"> cemetery” providing details of the </w:t>
      </w:r>
      <w:r w:rsidR="00DC637D" w:rsidRPr="001A7437">
        <w:rPr>
          <w:lang w:val="en-GB"/>
        </w:rPr>
        <w:t xml:space="preserve">grounds </w:t>
      </w:r>
      <w:r w:rsidR="00607A6D" w:rsidRPr="001A7437">
        <w:rPr>
          <w:lang w:val="en-GB"/>
        </w:rPr>
        <w:t>for the exhumation.</w:t>
      </w:r>
    </w:p>
    <w:p w:rsidR="00B11BFA" w:rsidRPr="001A7437" w:rsidRDefault="00B11BFA" w:rsidP="00B11BFA">
      <w:pPr>
        <w:pStyle w:val="ListParagraph"/>
        <w:rPr>
          <w:bCs/>
          <w:lang w:val="en-GB"/>
        </w:rPr>
      </w:pPr>
    </w:p>
    <w:p w:rsidR="00B11BFA" w:rsidRPr="00134D73" w:rsidRDefault="009602AF" w:rsidP="009E1DBF">
      <w:pPr>
        <w:pStyle w:val="ListParagraph"/>
        <w:widowControl w:val="0"/>
        <w:numPr>
          <w:ilvl w:val="0"/>
          <w:numId w:val="2"/>
        </w:numPr>
        <w:tabs>
          <w:tab w:val="left" w:pos="1080"/>
        </w:tabs>
        <w:jc w:val="both"/>
        <w:rPr>
          <w:bCs/>
          <w:lang w:val="en-GB"/>
        </w:rPr>
      </w:pPr>
      <w:r>
        <w:rPr>
          <w:bCs/>
          <w:lang w:val="en-GB"/>
        </w:rPr>
        <w:t>The file also contains</w:t>
      </w:r>
      <w:r w:rsidR="009E6742" w:rsidRPr="001A7437">
        <w:rPr>
          <w:bCs/>
          <w:lang w:val="en-GB"/>
        </w:rPr>
        <w:t xml:space="preserve"> an email, dated 23 October 2002, sent to an UNMIK staff member that attaches a spread sheet from the UNMIK Police Liaison Office in Belgrade titled “Status of Exhumed Serbian Bodies”. The spread sheet contains a list of 70 bodies</w:t>
      </w:r>
      <w:r w:rsidR="003408E0">
        <w:rPr>
          <w:bCs/>
          <w:lang w:val="en-GB"/>
        </w:rPr>
        <w:t>,</w:t>
      </w:r>
      <w:r w:rsidR="009E6742" w:rsidRPr="001A7437">
        <w:rPr>
          <w:bCs/>
          <w:lang w:val="en-GB"/>
        </w:rPr>
        <w:t xml:space="preserve"> including one that is unnamed but </w:t>
      </w:r>
      <w:r w:rsidR="00523367">
        <w:rPr>
          <w:bCs/>
          <w:lang w:val="en-GB"/>
        </w:rPr>
        <w:t xml:space="preserve">referencing </w:t>
      </w:r>
      <w:r w:rsidR="009E6742" w:rsidRPr="00134D73">
        <w:rPr>
          <w:bCs/>
          <w:lang w:val="en-GB"/>
        </w:rPr>
        <w:t>case no. FSA17 and the field titled “Location” states “</w:t>
      </w:r>
      <w:proofErr w:type="spellStart"/>
      <w:r w:rsidR="009E6742" w:rsidRPr="00134D73">
        <w:rPr>
          <w:bCs/>
          <w:lang w:val="en-GB"/>
        </w:rPr>
        <w:t>Brekovac</w:t>
      </w:r>
      <w:proofErr w:type="spellEnd"/>
      <w:r w:rsidR="009E6742" w:rsidRPr="00134D73">
        <w:rPr>
          <w:bCs/>
          <w:lang w:val="en-GB"/>
        </w:rPr>
        <w:t>”.</w:t>
      </w:r>
    </w:p>
    <w:p w:rsidR="00886EDE" w:rsidRPr="00134D73" w:rsidRDefault="00886EDE" w:rsidP="00886EDE">
      <w:pPr>
        <w:pStyle w:val="ListParagraph"/>
        <w:rPr>
          <w:bCs/>
          <w:lang w:val="en-GB"/>
        </w:rPr>
      </w:pPr>
    </w:p>
    <w:p w:rsidR="00886EDE" w:rsidRPr="00134D73" w:rsidRDefault="00886EDE" w:rsidP="009E1DBF">
      <w:pPr>
        <w:pStyle w:val="ListParagraph"/>
        <w:widowControl w:val="0"/>
        <w:numPr>
          <w:ilvl w:val="0"/>
          <w:numId w:val="2"/>
        </w:numPr>
        <w:tabs>
          <w:tab w:val="left" w:pos="1080"/>
        </w:tabs>
        <w:jc w:val="both"/>
        <w:rPr>
          <w:bCs/>
          <w:lang w:val="en-GB"/>
        </w:rPr>
      </w:pPr>
      <w:bookmarkStart w:id="21" w:name="_Ref418085312"/>
      <w:r w:rsidRPr="00134D73">
        <w:rPr>
          <w:bCs/>
          <w:lang w:val="en-GB"/>
        </w:rPr>
        <w:t>There is an MPU document</w:t>
      </w:r>
      <w:r w:rsidR="00E85D60" w:rsidRPr="00134D73">
        <w:rPr>
          <w:bCs/>
          <w:lang w:val="en-GB"/>
        </w:rPr>
        <w:t xml:space="preserve"> in the file</w:t>
      </w:r>
      <w:r w:rsidRPr="00134D73">
        <w:rPr>
          <w:bCs/>
          <w:lang w:val="en-GB"/>
        </w:rPr>
        <w:t xml:space="preserve">, dated 8 December 2002, titled “Artefact and clothing list” </w:t>
      </w:r>
      <w:r w:rsidR="00B11BFA" w:rsidRPr="00134D73">
        <w:rPr>
          <w:bCs/>
          <w:lang w:val="en-GB"/>
        </w:rPr>
        <w:t xml:space="preserve">for </w:t>
      </w:r>
      <w:r w:rsidRPr="00134D73">
        <w:rPr>
          <w:bCs/>
          <w:lang w:val="en-GB"/>
        </w:rPr>
        <w:t xml:space="preserve">grave site </w:t>
      </w:r>
      <w:r w:rsidR="00B11BFA" w:rsidRPr="00134D73">
        <w:rPr>
          <w:bCs/>
          <w:lang w:val="en-GB"/>
        </w:rPr>
        <w:t xml:space="preserve">no. </w:t>
      </w:r>
      <w:r w:rsidRPr="00134D73">
        <w:rPr>
          <w:bCs/>
          <w:lang w:val="en-GB"/>
        </w:rPr>
        <w:t xml:space="preserve">EX2002-135 </w:t>
      </w:r>
      <w:r w:rsidR="003408E0" w:rsidRPr="00134D73">
        <w:rPr>
          <w:bCs/>
          <w:lang w:val="en-GB"/>
        </w:rPr>
        <w:t>and case no. FSA17 1B</w:t>
      </w:r>
      <w:r w:rsidR="00E85D60" w:rsidRPr="00134D73">
        <w:rPr>
          <w:bCs/>
          <w:lang w:val="en-GB"/>
        </w:rPr>
        <w:t xml:space="preserve"> for one of the bodies found at the site</w:t>
      </w:r>
      <w:r w:rsidRPr="00134D73">
        <w:rPr>
          <w:bCs/>
          <w:lang w:val="en-GB"/>
        </w:rPr>
        <w:t xml:space="preserve">. A description of clothing and </w:t>
      </w:r>
      <w:r w:rsidR="003408E0" w:rsidRPr="00134D73">
        <w:rPr>
          <w:bCs/>
          <w:lang w:val="en-GB"/>
        </w:rPr>
        <w:t>items</w:t>
      </w:r>
      <w:r w:rsidRPr="00134D73">
        <w:rPr>
          <w:bCs/>
          <w:lang w:val="en-GB"/>
        </w:rPr>
        <w:t xml:space="preserve"> found</w:t>
      </w:r>
      <w:r w:rsidR="0076548B" w:rsidRPr="00134D73">
        <w:rPr>
          <w:bCs/>
          <w:lang w:val="en-GB"/>
        </w:rPr>
        <w:t xml:space="preserve"> on </w:t>
      </w:r>
      <w:r w:rsidR="00E85D60" w:rsidRPr="00134D73">
        <w:rPr>
          <w:bCs/>
          <w:lang w:val="en-GB"/>
        </w:rPr>
        <w:t xml:space="preserve">this body </w:t>
      </w:r>
      <w:r w:rsidRPr="00134D73">
        <w:rPr>
          <w:bCs/>
          <w:lang w:val="en-GB"/>
        </w:rPr>
        <w:t>include</w:t>
      </w:r>
      <w:r w:rsidR="00523367" w:rsidRPr="00134D73">
        <w:rPr>
          <w:bCs/>
          <w:lang w:val="en-GB"/>
        </w:rPr>
        <w:t>s</w:t>
      </w:r>
      <w:r w:rsidRPr="00134D73">
        <w:rPr>
          <w:bCs/>
          <w:lang w:val="en-GB"/>
        </w:rPr>
        <w:t xml:space="preserve"> a black cardigan, </w:t>
      </w:r>
      <w:r w:rsidR="00B11BFA" w:rsidRPr="00134D73">
        <w:rPr>
          <w:bCs/>
          <w:lang w:val="en-GB"/>
        </w:rPr>
        <w:t>scissors, a piece</w:t>
      </w:r>
      <w:r w:rsidR="0076548B" w:rsidRPr="00134D73">
        <w:rPr>
          <w:bCs/>
          <w:lang w:val="en-GB"/>
        </w:rPr>
        <w:t xml:space="preserve"> of elastic material band </w:t>
      </w:r>
      <w:r w:rsidR="00B11BFA" w:rsidRPr="00134D73">
        <w:rPr>
          <w:bCs/>
          <w:lang w:val="en-GB"/>
        </w:rPr>
        <w:t>and medicine; 7 ampules of gentamycin.</w:t>
      </w:r>
      <w:bookmarkEnd w:id="21"/>
    </w:p>
    <w:p w:rsidR="009E6742" w:rsidRPr="00134D73" w:rsidRDefault="009E6742" w:rsidP="00E85D60">
      <w:pPr>
        <w:rPr>
          <w:bCs/>
          <w:lang w:val="en-GB"/>
        </w:rPr>
      </w:pPr>
    </w:p>
    <w:p w:rsidR="009E6742" w:rsidRPr="001A7437" w:rsidRDefault="009E6742" w:rsidP="009E1DBF">
      <w:pPr>
        <w:pStyle w:val="ListParagraph"/>
        <w:widowControl w:val="0"/>
        <w:numPr>
          <w:ilvl w:val="0"/>
          <w:numId w:val="2"/>
        </w:numPr>
        <w:tabs>
          <w:tab w:val="left" w:pos="1080"/>
        </w:tabs>
        <w:jc w:val="both"/>
        <w:rPr>
          <w:bCs/>
          <w:lang w:val="en-GB"/>
        </w:rPr>
      </w:pPr>
      <w:bookmarkStart w:id="22" w:name="_Ref418359607"/>
      <w:r w:rsidRPr="00134D73">
        <w:rPr>
          <w:bCs/>
          <w:lang w:val="en-GB"/>
        </w:rPr>
        <w:t>There is an undated document</w:t>
      </w:r>
      <w:r w:rsidRPr="001A7437">
        <w:rPr>
          <w:bCs/>
          <w:lang w:val="en-GB"/>
        </w:rPr>
        <w:t xml:space="preserve"> titled “</w:t>
      </w:r>
      <w:proofErr w:type="spellStart"/>
      <w:r w:rsidRPr="001A7437">
        <w:rPr>
          <w:bCs/>
          <w:lang w:val="en-GB"/>
        </w:rPr>
        <w:t>Pantovic</w:t>
      </w:r>
      <w:proofErr w:type="spellEnd"/>
      <w:r w:rsidRPr="001A7437">
        <w:rPr>
          <w:bCs/>
          <w:lang w:val="en-GB"/>
        </w:rPr>
        <w:t xml:space="preserve"> (Milan) </w:t>
      </w:r>
      <w:proofErr w:type="spellStart"/>
      <w:r w:rsidRPr="001A7437">
        <w:rPr>
          <w:bCs/>
          <w:lang w:val="en-GB"/>
        </w:rPr>
        <w:t>Milic</w:t>
      </w:r>
      <w:proofErr w:type="spellEnd"/>
      <w:r w:rsidRPr="001A7437">
        <w:rPr>
          <w:bCs/>
          <w:lang w:val="en-GB"/>
        </w:rPr>
        <w:t xml:space="preserve"> – MPU 2002-000469 – FSA17/001B – EX 2002-135 – 0313/INV/02” </w:t>
      </w:r>
      <w:r w:rsidR="00DC637D" w:rsidRPr="001A7437">
        <w:rPr>
          <w:bCs/>
          <w:lang w:val="en-GB"/>
        </w:rPr>
        <w:t xml:space="preserve">The document lists a number of the same items referred to above and </w:t>
      </w:r>
      <w:r w:rsidR="0038684A" w:rsidRPr="001A7437">
        <w:rPr>
          <w:bCs/>
          <w:lang w:val="en-GB"/>
        </w:rPr>
        <w:t xml:space="preserve">also provides the names and contact details of the complainant and </w:t>
      </w:r>
      <w:r w:rsidR="0076548B">
        <w:rPr>
          <w:bCs/>
          <w:lang w:val="en-GB"/>
        </w:rPr>
        <w:t xml:space="preserve">a niece, Z.R., </w:t>
      </w:r>
      <w:r w:rsidR="0038684A" w:rsidRPr="001A7437">
        <w:rPr>
          <w:bCs/>
          <w:lang w:val="en-GB"/>
        </w:rPr>
        <w:t>as next of kin. The document</w:t>
      </w:r>
      <w:r w:rsidR="007833CF" w:rsidRPr="001A7437">
        <w:rPr>
          <w:bCs/>
          <w:lang w:val="en-GB"/>
        </w:rPr>
        <w:t xml:space="preserve"> also</w:t>
      </w:r>
      <w:r w:rsidR="0076548B">
        <w:rPr>
          <w:bCs/>
          <w:lang w:val="en-GB"/>
        </w:rPr>
        <w:t xml:space="preserve"> states that this</w:t>
      </w:r>
      <w:r w:rsidR="0038684A" w:rsidRPr="001A7437">
        <w:rPr>
          <w:bCs/>
          <w:lang w:val="en-GB"/>
        </w:rPr>
        <w:t xml:space="preserve"> body was found on 1 October 2002 in a single grave.</w:t>
      </w:r>
      <w:bookmarkEnd w:id="22"/>
    </w:p>
    <w:p w:rsidR="00BE177E" w:rsidRPr="001A7437" w:rsidRDefault="00BE177E" w:rsidP="00BE177E">
      <w:pPr>
        <w:pStyle w:val="ListParagraph"/>
        <w:rPr>
          <w:bCs/>
          <w:lang w:val="en-GB"/>
        </w:rPr>
      </w:pPr>
    </w:p>
    <w:p w:rsidR="00BE177E" w:rsidRPr="001A7437" w:rsidRDefault="00BE177E" w:rsidP="009E1DBF">
      <w:pPr>
        <w:pStyle w:val="ListParagraph"/>
        <w:widowControl w:val="0"/>
        <w:numPr>
          <w:ilvl w:val="0"/>
          <w:numId w:val="2"/>
        </w:numPr>
        <w:tabs>
          <w:tab w:val="left" w:pos="1080"/>
        </w:tabs>
        <w:jc w:val="both"/>
        <w:rPr>
          <w:bCs/>
          <w:lang w:val="en-GB"/>
        </w:rPr>
      </w:pPr>
      <w:bookmarkStart w:id="23" w:name="_Ref418085216"/>
      <w:r w:rsidRPr="001A7437">
        <w:rPr>
          <w:bCs/>
          <w:lang w:val="en-GB"/>
        </w:rPr>
        <w:t>The file contains an undated MPU document titled “[OMPF] form for recording details at clothing exhibition” containing site code no. FSA17 001BP</w:t>
      </w:r>
      <w:r w:rsidR="00886EDE" w:rsidRPr="001A7437">
        <w:rPr>
          <w:bCs/>
          <w:lang w:val="en-GB"/>
        </w:rPr>
        <w:t xml:space="preserve"> and MPU file no. 2003-000052</w:t>
      </w:r>
      <w:r w:rsidRPr="001A7437">
        <w:rPr>
          <w:bCs/>
          <w:lang w:val="en-GB"/>
        </w:rPr>
        <w:t xml:space="preserve">. The name </w:t>
      </w:r>
      <w:r w:rsidR="00EC6CE1" w:rsidRPr="001A7437">
        <w:rPr>
          <w:bCs/>
          <w:lang w:val="en-GB"/>
        </w:rPr>
        <w:t xml:space="preserve">and details </w:t>
      </w:r>
      <w:r w:rsidRPr="001A7437">
        <w:rPr>
          <w:bCs/>
          <w:lang w:val="en-GB"/>
        </w:rPr>
        <w:t xml:space="preserve">of </w:t>
      </w:r>
      <w:r w:rsidR="00886EDE" w:rsidRPr="001A7437">
        <w:rPr>
          <w:bCs/>
          <w:lang w:val="en-GB"/>
        </w:rPr>
        <w:t xml:space="preserve">Mr </w:t>
      </w:r>
      <w:proofErr w:type="spellStart"/>
      <w:r w:rsidRPr="001A7437">
        <w:rPr>
          <w:bCs/>
          <w:lang w:val="en-GB"/>
        </w:rPr>
        <w:t>Milić</w:t>
      </w:r>
      <w:proofErr w:type="spellEnd"/>
      <w:r w:rsidRPr="001A7437">
        <w:rPr>
          <w:bCs/>
          <w:lang w:val="en-GB"/>
        </w:rPr>
        <w:t xml:space="preserve"> </w:t>
      </w:r>
      <w:proofErr w:type="spellStart"/>
      <w:r w:rsidRPr="001A7437">
        <w:rPr>
          <w:bCs/>
          <w:lang w:val="en-GB"/>
        </w:rPr>
        <w:t>Pantović</w:t>
      </w:r>
      <w:proofErr w:type="spellEnd"/>
      <w:r w:rsidRPr="001A7437">
        <w:rPr>
          <w:bCs/>
          <w:lang w:val="en-GB"/>
        </w:rPr>
        <w:t xml:space="preserve"> </w:t>
      </w:r>
      <w:r w:rsidR="00523367">
        <w:rPr>
          <w:bCs/>
          <w:lang w:val="en-GB"/>
        </w:rPr>
        <w:t xml:space="preserve">are </w:t>
      </w:r>
      <w:r w:rsidR="00EC6CE1" w:rsidRPr="001A7437">
        <w:rPr>
          <w:bCs/>
          <w:lang w:val="en-GB"/>
        </w:rPr>
        <w:t xml:space="preserve">listed under the heading “victims details” and the name and contact details of his </w:t>
      </w:r>
      <w:r w:rsidR="00A56D97" w:rsidRPr="001A7437">
        <w:rPr>
          <w:bCs/>
          <w:lang w:val="en-GB"/>
        </w:rPr>
        <w:t>relative</w:t>
      </w:r>
      <w:r w:rsidR="00DC637D" w:rsidRPr="001A7437">
        <w:rPr>
          <w:bCs/>
          <w:lang w:val="en-GB"/>
        </w:rPr>
        <w:t>,</w:t>
      </w:r>
      <w:r w:rsidR="00EC6CE1" w:rsidRPr="001A7437">
        <w:rPr>
          <w:bCs/>
          <w:lang w:val="en-GB"/>
        </w:rPr>
        <w:t xml:space="preserve"> </w:t>
      </w:r>
      <w:r w:rsidR="00886EDE" w:rsidRPr="001A7437">
        <w:rPr>
          <w:bCs/>
          <w:lang w:val="en-GB"/>
        </w:rPr>
        <w:t xml:space="preserve">Ms </w:t>
      </w:r>
      <w:r w:rsidR="00EC6CE1" w:rsidRPr="001A7437">
        <w:rPr>
          <w:bCs/>
          <w:lang w:val="en-GB"/>
        </w:rPr>
        <w:t>D.P.</w:t>
      </w:r>
      <w:r w:rsidR="00DC637D" w:rsidRPr="001A7437">
        <w:rPr>
          <w:bCs/>
          <w:lang w:val="en-GB"/>
        </w:rPr>
        <w:t>,</w:t>
      </w:r>
      <w:r w:rsidR="00EC6CE1" w:rsidRPr="001A7437">
        <w:rPr>
          <w:bCs/>
          <w:lang w:val="en-GB"/>
        </w:rPr>
        <w:t xml:space="preserve"> </w:t>
      </w:r>
      <w:r w:rsidR="00523367">
        <w:rPr>
          <w:bCs/>
          <w:lang w:val="en-GB"/>
        </w:rPr>
        <w:t xml:space="preserve">are </w:t>
      </w:r>
      <w:r w:rsidR="00EC6CE1" w:rsidRPr="001A7437">
        <w:rPr>
          <w:bCs/>
          <w:lang w:val="en-GB"/>
        </w:rPr>
        <w:t xml:space="preserve">also provided. The document states that </w:t>
      </w:r>
      <w:r w:rsidR="00886EDE" w:rsidRPr="001A7437">
        <w:rPr>
          <w:bCs/>
          <w:lang w:val="en-GB"/>
        </w:rPr>
        <w:t xml:space="preserve">“[Ms D.P.] recognized all the items present as an artefacts for the mentioned case. The reason missing person had all this </w:t>
      </w:r>
      <w:proofErr w:type="gramStart"/>
      <w:r w:rsidR="00886EDE" w:rsidRPr="001A7437">
        <w:rPr>
          <w:bCs/>
          <w:lang w:val="en-GB"/>
        </w:rPr>
        <w:t>items</w:t>
      </w:r>
      <w:proofErr w:type="gramEnd"/>
      <w:r w:rsidR="00886EDE" w:rsidRPr="001A7437">
        <w:rPr>
          <w:bCs/>
          <w:lang w:val="en-GB"/>
        </w:rPr>
        <w:t xml:space="preserve"> is due to the</w:t>
      </w:r>
      <w:r w:rsidR="007833CF" w:rsidRPr="001A7437">
        <w:rPr>
          <w:bCs/>
          <w:lang w:val="en-GB"/>
        </w:rPr>
        <w:t xml:space="preserve"> [</w:t>
      </w:r>
      <w:r w:rsidR="00DC637D" w:rsidRPr="001A7437">
        <w:rPr>
          <w:bCs/>
          <w:lang w:val="en-GB"/>
        </w:rPr>
        <w:t>…</w:t>
      </w:r>
      <w:r w:rsidR="007833CF" w:rsidRPr="001A7437">
        <w:rPr>
          <w:bCs/>
          <w:lang w:val="en-GB"/>
        </w:rPr>
        <w:t xml:space="preserve">] </w:t>
      </w:r>
      <w:r w:rsidR="00886EDE" w:rsidRPr="001A7437">
        <w:rPr>
          <w:bCs/>
          <w:lang w:val="en-GB"/>
        </w:rPr>
        <w:t>disease he suffered. No clothing has been recognized. The relative stated that due to severe disease the [missing perso</w:t>
      </w:r>
      <w:r w:rsidR="00DC637D" w:rsidRPr="001A7437">
        <w:rPr>
          <w:bCs/>
          <w:lang w:val="en-GB"/>
        </w:rPr>
        <w:t xml:space="preserve">n] would have worn the </w:t>
      </w:r>
      <w:r w:rsidR="00DC637D" w:rsidRPr="00134D73">
        <w:rPr>
          <w:bCs/>
        </w:rPr>
        <w:t>pajamas</w:t>
      </w:r>
      <w:r w:rsidR="00DC637D" w:rsidRPr="001A7437">
        <w:rPr>
          <w:bCs/>
          <w:lang w:val="en-GB"/>
        </w:rPr>
        <w:t xml:space="preserve"> </w:t>
      </w:r>
      <w:r w:rsidR="00886EDE" w:rsidRPr="001A7437">
        <w:rPr>
          <w:bCs/>
          <w:lang w:val="en-GB"/>
        </w:rPr>
        <w:t>only.”</w:t>
      </w:r>
      <w:bookmarkEnd w:id="23"/>
    </w:p>
    <w:p w:rsidR="00886EDE" w:rsidRPr="001A7437" w:rsidRDefault="00886EDE" w:rsidP="00886EDE">
      <w:pPr>
        <w:pStyle w:val="ListParagraph"/>
        <w:rPr>
          <w:bCs/>
          <w:lang w:val="en-GB"/>
        </w:rPr>
      </w:pPr>
    </w:p>
    <w:p w:rsidR="00886EDE" w:rsidRPr="001A7437" w:rsidRDefault="00886EDE" w:rsidP="009E1DBF">
      <w:pPr>
        <w:pStyle w:val="ListParagraph"/>
        <w:widowControl w:val="0"/>
        <w:numPr>
          <w:ilvl w:val="0"/>
          <w:numId w:val="2"/>
        </w:numPr>
        <w:tabs>
          <w:tab w:val="left" w:pos="1080"/>
        </w:tabs>
        <w:jc w:val="both"/>
        <w:rPr>
          <w:bCs/>
          <w:lang w:val="en-GB"/>
        </w:rPr>
      </w:pPr>
      <w:bookmarkStart w:id="24" w:name="_Ref419388109"/>
      <w:r w:rsidRPr="001A7437">
        <w:rPr>
          <w:bCs/>
          <w:lang w:val="en-GB"/>
        </w:rPr>
        <w:t>There is an</w:t>
      </w:r>
      <w:r w:rsidR="005E25A2" w:rsidRPr="001A7437">
        <w:rPr>
          <w:bCs/>
          <w:lang w:val="en-GB"/>
        </w:rPr>
        <w:t xml:space="preserve"> undated</w:t>
      </w:r>
      <w:r w:rsidRPr="001A7437">
        <w:rPr>
          <w:bCs/>
          <w:lang w:val="en-GB"/>
        </w:rPr>
        <w:t xml:space="preserve"> ante-mortem – post-mortem comparison chart included in the document above, which compares various reported features of Mr </w:t>
      </w:r>
      <w:proofErr w:type="spellStart"/>
      <w:r w:rsidRPr="001A7437">
        <w:rPr>
          <w:bCs/>
          <w:lang w:val="en-GB"/>
        </w:rPr>
        <w:t>Milić</w:t>
      </w:r>
      <w:proofErr w:type="spellEnd"/>
      <w:r w:rsidRPr="001A7437">
        <w:rPr>
          <w:bCs/>
          <w:lang w:val="en-GB"/>
        </w:rPr>
        <w:t xml:space="preserve"> </w:t>
      </w:r>
      <w:proofErr w:type="spellStart"/>
      <w:r w:rsidRPr="001A7437">
        <w:rPr>
          <w:bCs/>
          <w:lang w:val="en-GB"/>
        </w:rPr>
        <w:t>Pantović</w:t>
      </w:r>
      <w:proofErr w:type="spellEnd"/>
      <w:r w:rsidRPr="001A7437">
        <w:rPr>
          <w:bCs/>
          <w:lang w:val="en-GB"/>
        </w:rPr>
        <w:t xml:space="preserve"> and those of the</w:t>
      </w:r>
      <w:r w:rsidR="0076548B">
        <w:rPr>
          <w:bCs/>
          <w:lang w:val="en-GB"/>
        </w:rPr>
        <w:t xml:space="preserve"> </w:t>
      </w:r>
      <w:r w:rsidR="0076548B">
        <w:rPr>
          <w:bCs/>
          <w:lang w:val="en-GB"/>
        </w:rPr>
        <w:lastRenderedPageBreak/>
        <w:t>mortal</w:t>
      </w:r>
      <w:r w:rsidRPr="001A7437">
        <w:rPr>
          <w:bCs/>
          <w:lang w:val="en-GB"/>
        </w:rPr>
        <w:t xml:space="preserve"> remains found. The result of the comparison was reported as “bad”. The document also states that a blood sample was given to the ICMP.</w:t>
      </w:r>
      <w:bookmarkEnd w:id="24"/>
      <w:r w:rsidRPr="001A7437">
        <w:rPr>
          <w:bCs/>
          <w:lang w:val="en-GB"/>
        </w:rPr>
        <w:t xml:space="preserve"> </w:t>
      </w:r>
    </w:p>
    <w:p w:rsidR="00A92BCC" w:rsidRPr="001A7437" w:rsidRDefault="00A92BCC" w:rsidP="00A92BCC">
      <w:pPr>
        <w:pStyle w:val="ListParagraph"/>
        <w:rPr>
          <w:bCs/>
          <w:lang w:val="en-GB"/>
        </w:rPr>
      </w:pPr>
    </w:p>
    <w:p w:rsidR="00A92BCC" w:rsidRPr="001A7437" w:rsidRDefault="00A92BCC" w:rsidP="009E1DBF">
      <w:pPr>
        <w:pStyle w:val="ListParagraph"/>
        <w:widowControl w:val="0"/>
        <w:numPr>
          <w:ilvl w:val="0"/>
          <w:numId w:val="2"/>
        </w:numPr>
        <w:tabs>
          <w:tab w:val="left" w:pos="1080"/>
        </w:tabs>
        <w:jc w:val="both"/>
        <w:rPr>
          <w:bCs/>
          <w:lang w:val="en-GB"/>
        </w:rPr>
      </w:pPr>
      <w:bookmarkStart w:id="25" w:name="_Ref419388124"/>
      <w:r w:rsidRPr="001A7437">
        <w:rPr>
          <w:bCs/>
          <w:lang w:val="en-GB"/>
        </w:rPr>
        <w:t xml:space="preserve">The file also contains a more detailed comparison </w:t>
      </w:r>
      <w:r w:rsidR="00523367">
        <w:rPr>
          <w:bCs/>
          <w:lang w:val="en-GB"/>
        </w:rPr>
        <w:t xml:space="preserve">of </w:t>
      </w:r>
      <w:r w:rsidR="00523367" w:rsidRPr="001A7437">
        <w:rPr>
          <w:bCs/>
          <w:lang w:val="en-GB"/>
        </w:rPr>
        <w:t xml:space="preserve">ante-mortem and post-mortem descriptions </w:t>
      </w:r>
      <w:r w:rsidRPr="001A7437">
        <w:rPr>
          <w:bCs/>
          <w:lang w:val="en-GB"/>
        </w:rPr>
        <w:t>in a “Comparison Table”</w:t>
      </w:r>
      <w:r w:rsidR="00523367">
        <w:rPr>
          <w:bCs/>
          <w:lang w:val="en-GB"/>
        </w:rPr>
        <w:t>,</w:t>
      </w:r>
      <w:r w:rsidRPr="001A7437">
        <w:rPr>
          <w:bCs/>
          <w:lang w:val="en-GB"/>
        </w:rPr>
        <w:t xml:space="preserve"> dated 10 August 2003. Besides including the items listed above in § </w:t>
      </w:r>
      <w:r w:rsidRPr="001A7437">
        <w:rPr>
          <w:bCs/>
          <w:lang w:val="en-GB"/>
        </w:rPr>
        <w:fldChar w:fldCharType="begin"/>
      </w:r>
      <w:r w:rsidRPr="001A7437">
        <w:rPr>
          <w:bCs/>
          <w:lang w:val="en-GB"/>
        </w:rPr>
        <w:instrText xml:space="preserve"> REF _Ref418085312 \r \h  \* MERGEFORMAT </w:instrText>
      </w:r>
      <w:r w:rsidRPr="001A7437">
        <w:rPr>
          <w:bCs/>
          <w:lang w:val="en-GB"/>
        </w:rPr>
      </w:r>
      <w:r w:rsidRPr="001A7437">
        <w:rPr>
          <w:bCs/>
          <w:lang w:val="en-GB"/>
        </w:rPr>
        <w:fldChar w:fldCharType="separate"/>
      </w:r>
      <w:r w:rsidR="00AB2ED0">
        <w:rPr>
          <w:bCs/>
          <w:lang w:val="en-GB"/>
        </w:rPr>
        <w:t>35</w:t>
      </w:r>
      <w:r w:rsidRPr="001A7437">
        <w:rPr>
          <w:bCs/>
          <w:lang w:val="en-GB"/>
        </w:rPr>
        <w:fldChar w:fldCharType="end"/>
      </w:r>
      <w:r w:rsidRPr="001A7437">
        <w:rPr>
          <w:bCs/>
          <w:lang w:val="en-GB"/>
        </w:rPr>
        <w:t xml:space="preserve">, it also listed additional </w:t>
      </w:r>
      <w:r w:rsidR="005E25A2" w:rsidRPr="001A7437">
        <w:rPr>
          <w:bCs/>
          <w:lang w:val="en-GB"/>
        </w:rPr>
        <w:t xml:space="preserve">medically related </w:t>
      </w:r>
      <w:r w:rsidR="00676392">
        <w:rPr>
          <w:bCs/>
          <w:lang w:val="en-GB"/>
        </w:rPr>
        <w:t>items</w:t>
      </w:r>
      <w:r w:rsidR="00D23AAF" w:rsidRPr="001A7437">
        <w:rPr>
          <w:bCs/>
          <w:lang w:val="en-GB"/>
        </w:rPr>
        <w:t xml:space="preserve">. The conclusion states “The amount of identification information available is not sufficient to confirm identification by traditional methods. However due to </w:t>
      </w:r>
      <w:r w:rsidR="00D23AAF" w:rsidRPr="001A7437">
        <w:rPr>
          <w:bCs/>
        </w:rPr>
        <w:t>artifacts</w:t>
      </w:r>
      <w:r w:rsidR="00D23AAF" w:rsidRPr="001A7437">
        <w:rPr>
          <w:bCs/>
          <w:lang w:val="en-GB"/>
        </w:rPr>
        <w:t xml:space="preserve"> found with the body suggests that they may belong to a person with a similar medical history to the missing person. I therefore suggest DNA testing to be conducted.”</w:t>
      </w:r>
      <w:bookmarkEnd w:id="25"/>
    </w:p>
    <w:p w:rsidR="00607A6D" w:rsidRPr="001A7437" w:rsidRDefault="00607A6D" w:rsidP="00607A6D">
      <w:pPr>
        <w:pStyle w:val="ListParagraph"/>
        <w:rPr>
          <w:bCs/>
          <w:lang w:val="en-GB"/>
        </w:rPr>
      </w:pPr>
    </w:p>
    <w:p w:rsidR="0076548B" w:rsidRDefault="00B76749" w:rsidP="0076548B">
      <w:pPr>
        <w:widowControl w:val="0"/>
        <w:numPr>
          <w:ilvl w:val="0"/>
          <w:numId w:val="2"/>
        </w:numPr>
        <w:tabs>
          <w:tab w:val="left" w:pos="360"/>
          <w:tab w:val="num" w:pos="630"/>
          <w:tab w:val="left" w:pos="1080"/>
        </w:tabs>
        <w:suppressAutoHyphens/>
        <w:jc w:val="both"/>
        <w:rPr>
          <w:lang w:val="en-GB"/>
        </w:rPr>
      </w:pPr>
      <w:bookmarkStart w:id="26" w:name="_Ref418695825"/>
      <w:bookmarkStart w:id="27" w:name="_Ref418239588"/>
      <w:bookmarkStart w:id="28" w:name="_Ref393961966"/>
      <w:r w:rsidRPr="001A7437">
        <w:t>The investigative file also contains</w:t>
      </w:r>
      <w:r w:rsidRPr="001A7437">
        <w:rPr>
          <w:lang w:val="en-GB"/>
        </w:rPr>
        <w:t xml:space="preserve"> a document l</w:t>
      </w:r>
      <w:r w:rsidR="00F97AB9" w:rsidRPr="001A7437">
        <w:rPr>
          <w:lang w:val="en-GB"/>
        </w:rPr>
        <w:t>abelled “War Crime Unit MPU Anti</w:t>
      </w:r>
      <w:r w:rsidRPr="001A7437">
        <w:rPr>
          <w:lang w:val="en-GB"/>
        </w:rPr>
        <w:t xml:space="preserve"> Mortem Investigation Report”, started on 27 January 2005 and completed on 29 January 2005, affixed with the MPU </w:t>
      </w:r>
      <w:proofErr w:type="gramStart"/>
      <w:r w:rsidRPr="001A7437">
        <w:rPr>
          <w:lang w:val="en-GB"/>
        </w:rPr>
        <w:t>file</w:t>
      </w:r>
      <w:proofErr w:type="gramEnd"/>
      <w:r w:rsidRPr="001A7437">
        <w:rPr>
          <w:lang w:val="en-GB"/>
        </w:rPr>
        <w:t xml:space="preserve"> no. 2002-000468 and cross-referenced with the WCIU file no. 0233/INV/05. The Report lists Mrs</w:t>
      </w:r>
      <w:r w:rsidRPr="001A7437">
        <w:t xml:space="preserve"> </w:t>
      </w:r>
      <w:r w:rsidRPr="001A7437">
        <w:rPr>
          <w:lang w:val="en-GB"/>
        </w:rPr>
        <w:t>Slavka</w:t>
      </w:r>
      <w:r w:rsidRPr="001A7437">
        <w:t xml:space="preserve"> </w:t>
      </w:r>
      <w:r w:rsidRPr="001A7437">
        <w:rPr>
          <w:lang w:val="en-GB"/>
        </w:rPr>
        <w:t>Pantović</w:t>
      </w:r>
      <w:r w:rsidRPr="001A7437">
        <w:t xml:space="preserve"> </w:t>
      </w:r>
      <w:r w:rsidRPr="001A7437">
        <w:rPr>
          <w:lang w:val="en-GB"/>
        </w:rPr>
        <w:t>as a missing person</w:t>
      </w:r>
      <w:r w:rsidR="00752E80" w:rsidRPr="001A7437">
        <w:rPr>
          <w:lang w:val="en-GB"/>
        </w:rPr>
        <w:t xml:space="preserve"> with </w:t>
      </w:r>
      <w:r w:rsidR="00523367">
        <w:rPr>
          <w:lang w:val="en-GB"/>
        </w:rPr>
        <w:t xml:space="preserve">the </w:t>
      </w:r>
      <w:r w:rsidR="00752E80" w:rsidRPr="001A7437">
        <w:rPr>
          <w:lang w:val="en-GB"/>
        </w:rPr>
        <w:t>date of disappearance as 13 July 1999</w:t>
      </w:r>
      <w:r w:rsidRPr="001A7437">
        <w:rPr>
          <w:lang w:val="en-GB"/>
        </w:rPr>
        <w:t>, and it lists her sister, Ms D.P. as a witness. Under the heading labelled “Nature of Information”, the Report states</w:t>
      </w:r>
      <w:bookmarkEnd w:id="26"/>
      <w:r w:rsidRPr="001A7437">
        <w:rPr>
          <w:lang w:val="en-GB"/>
        </w:rPr>
        <w:t xml:space="preserve"> </w:t>
      </w:r>
      <w:r w:rsidRPr="0076548B">
        <w:rPr>
          <w:lang w:val="en-GB"/>
        </w:rPr>
        <w:t xml:space="preserve">“[Missing Person] was taken together with PANTOVIC </w:t>
      </w:r>
      <w:proofErr w:type="spellStart"/>
      <w:r w:rsidRPr="0076548B">
        <w:rPr>
          <w:lang w:val="en-GB"/>
        </w:rPr>
        <w:t>Milic</w:t>
      </w:r>
      <w:proofErr w:type="spellEnd"/>
      <w:r w:rsidRPr="0076548B">
        <w:rPr>
          <w:lang w:val="en-GB"/>
        </w:rPr>
        <w:t xml:space="preserve"> (husband) and PANTOVIC </w:t>
      </w:r>
      <w:proofErr w:type="spellStart"/>
      <w:r w:rsidRPr="0076548B">
        <w:rPr>
          <w:lang w:val="en-GB"/>
        </w:rPr>
        <w:t>Mileva</w:t>
      </w:r>
      <w:proofErr w:type="spellEnd"/>
      <w:r w:rsidRPr="0076548B">
        <w:rPr>
          <w:lang w:val="en-GB"/>
        </w:rPr>
        <w:t xml:space="preserve"> (sister-in-law). This case was reported to ICRC Belgrade under number BLG-802987-01 and MPU file was open on 02/05/2002.” Under the headi</w:t>
      </w:r>
      <w:r w:rsidR="00523367" w:rsidRPr="0076548B">
        <w:rPr>
          <w:lang w:val="en-GB"/>
        </w:rPr>
        <w:t>ng labelled “Further Investigation</w:t>
      </w:r>
      <w:r w:rsidRPr="0076548B">
        <w:rPr>
          <w:lang w:val="en-GB"/>
        </w:rPr>
        <w:t>”, the Report states</w:t>
      </w:r>
      <w:r w:rsidR="0076548B">
        <w:rPr>
          <w:rStyle w:val="FootnoteReference"/>
          <w:lang w:val="en-GB"/>
        </w:rPr>
        <w:footnoteReference w:id="7"/>
      </w:r>
      <w:r w:rsidRPr="0076548B">
        <w:rPr>
          <w:lang w:val="en-GB"/>
        </w:rPr>
        <w:t xml:space="preserve"> </w:t>
      </w:r>
    </w:p>
    <w:p w:rsidR="0076548B" w:rsidRDefault="0076548B" w:rsidP="0076548B">
      <w:pPr>
        <w:pStyle w:val="ListParagraph"/>
        <w:rPr>
          <w:lang w:val="en-GB"/>
        </w:rPr>
      </w:pPr>
    </w:p>
    <w:p w:rsidR="00B76749" w:rsidRPr="0076548B" w:rsidRDefault="0076548B" w:rsidP="0076548B">
      <w:pPr>
        <w:widowControl w:val="0"/>
        <w:tabs>
          <w:tab w:val="left" w:pos="360"/>
          <w:tab w:val="left" w:pos="1080"/>
        </w:tabs>
        <w:suppressAutoHyphens/>
        <w:ind w:left="720"/>
        <w:jc w:val="both"/>
        <w:rPr>
          <w:lang w:val="en-GB"/>
        </w:rPr>
      </w:pPr>
      <w:r>
        <w:rPr>
          <w:lang w:val="en-GB"/>
        </w:rPr>
        <w:tab/>
      </w:r>
      <w:r w:rsidR="00B76749" w:rsidRPr="0076548B">
        <w:rPr>
          <w:lang w:val="en-GB"/>
        </w:rPr>
        <w:t>“We contacted wi</w:t>
      </w:r>
      <w:r w:rsidR="00523367" w:rsidRPr="0076548B">
        <w:rPr>
          <w:lang w:val="en-GB"/>
        </w:rPr>
        <w:t xml:space="preserve">th a sister of [Missing Person], named [D.P.], </w:t>
      </w:r>
      <w:r w:rsidR="00B76749" w:rsidRPr="0076548B">
        <w:rPr>
          <w:lang w:val="en-GB"/>
        </w:rPr>
        <w:t xml:space="preserve">who lives in </w:t>
      </w:r>
      <w:r w:rsidR="007833CF" w:rsidRPr="0076548B">
        <w:rPr>
          <w:lang w:val="en-GB"/>
        </w:rPr>
        <w:t>[Serbia proper]</w:t>
      </w:r>
      <w:r w:rsidR="00B76749" w:rsidRPr="0076548B">
        <w:rPr>
          <w:lang w:val="en-GB"/>
        </w:rPr>
        <w:t>, in order to receive any updated information. But she refused to give us any relative information. She told that her family gave a lot of state</w:t>
      </w:r>
      <w:r w:rsidR="00E833BE" w:rsidRPr="0076548B">
        <w:rPr>
          <w:lang w:val="en-GB"/>
        </w:rPr>
        <w:t>ments to different organization</w:t>
      </w:r>
      <w:r w:rsidR="00B76749" w:rsidRPr="0076548B">
        <w:rPr>
          <w:lang w:val="en-GB"/>
        </w:rPr>
        <w:t xml:space="preserve"> for last 5 years and we were supposed to contact with them. We couldn’t collect any relative available information from and</w:t>
      </w:r>
      <w:r w:rsidRPr="0076548B">
        <w:rPr>
          <w:lang w:val="en-GB"/>
        </w:rPr>
        <w:t xml:space="preserve"> </w:t>
      </w:r>
      <w:r w:rsidR="00B76749" w:rsidRPr="0076548B">
        <w:rPr>
          <w:lang w:val="en-GB"/>
        </w:rPr>
        <w:t xml:space="preserve">Internet source. Allegedly we revealed that late July KLA members killed 1999 Slavka PANTOVIC, her husband and sister-in-law at Djakovica area. In March 2003 at </w:t>
      </w:r>
      <w:proofErr w:type="spellStart"/>
      <w:r w:rsidR="00B76749" w:rsidRPr="0076548B">
        <w:rPr>
          <w:lang w:val="en-GB"/>
        </w:rPr>
        <w:t>Merdare</w:t>
      </w:r>
      <w:proofErr w:type="spellEnd"/>
      <w:r w:rsidR="00B76749" w:rsidRPr="0076548B">
        <w:rPr>
          <w:lang w:val="en-GB"/>
        </w:rPr>
        <w:t xml:space="preserve"> check point sister of </w:t>
      </w:r>
      <w:r w:rsidR="00E833BE" w:rsidRPr="0076548B">
        <w:rPr>
          <w:lang w:val="en-GB"/>
        </w:rPr>
        <w:t>[Missing Person]</w:t>
      </w:r>
      <w:r w:rsidR="00B76749" w:rsidRPr="0076548B">
        <w:rPr>
          <w:lang w:val="en-GB"/>
        </w:rPr>
        <w:t>, named</w:t>
      </w:r>
      <w:r w:rsidR="00E833BE" w:rsidRPr="0076548B">
        <w:rPr>
          <w:lang w:val="en-GB"/>
        </w:rPr>
        <w:t>,</w:t>
      </w:r>
      <w:r w:rsidR="00B76749" w:rsidRPr="0076548B">
        <w:rPr>
          <w:lang w:val="en-GB"/>
        </w:rPr>
        <w:t xml:space="preserve"> </w:t>
      </w:r>
      <w:r w:rsidR="00E833BE" w:rsidRPr="0076548B">
        <w:rPr>
          <w:lang w:val="en-GB"/>
        </w:rPr>
        <w:t>[</w:t>
      </w:r>
      <w:r w:rsidR="00B76749" w:rsidRPr="0076548B">
        <w:rPr>
          <w:lang w:val="en-GB"/>
        </w:rPr>
        <w:t>D.P.</w:t>
      </w:r>
      <w:r w:rsidR="00E833BE" w:rsidRPr="0076548B">
        <w:rPr>
          <w:lang w:val="en-GB"/>
        </w:rPr>
        <w:t>],</w:t>
      </w:r>
      <w:r w:rsidR="00B76749" w:rsidRPr="0076548B">
        <w:rPr>
          <w:lang w:val="en-GB"/>
        </w:rPr>
        <w:t xml:space="preserve"> recognized personal belongings of </w:t>
      </w:r>
      <w:proofErr w:type="spellStart"/>
      <w:r w:rsidR="00B76749" w:rsidRPr="0076548B">
        <w:rPr>
          <w:lang w:val="en-GB"/>
        </w:rPr>
        <w:t>Milic</w:t>
      </w:r>
      <w:proofErr w:type="spellEnd"/>
      <w:r w:rsidR="00B76749" w:rsidRPr="0076548B">
        <w:rPr>
          <w:lang w:val="en-GB"/>
        </w:rPr>
        <w:t xml:space="preserve"> PANTOVIC and </w:t>
      </w:r>
      <w:proofErr w:type="spellStart"/>
      <w:r w:rsidR="00B76749" w:rsidRPr="0076548B">
        <w:rPr>
          <w:lang w:val="en-GB"/>
        </w:rPr>
        <w:t>Slavka</w:t>
      </w:r>
      <w:proofErr w:type="spellEnd"/>
      <w:r w:rsidR="00B76749" w:rsidRPr="0076548B">
        <w:rPr>
          <w:lang w:val="en-GB"/>
        </w:rPr>
        <w:t xml:space="preserve"> PANTOVIC during exhibition of killed Serbs. ON 14-15.03.2003 FSA send blood samples for DNA comparison to Tuzla, </w:t>
      </w:r>
      <w:proofErr w:type="spellStart"/>
      <w:r w:rsidR="00B76749" w:rsidRPr="0076548B">
        <w:rPr>
          <w:lang w:val="en-GB"/>
        </w:rPr>
        <w:t>BiH</w:t>
      </w:r>
      <w:proofErr w:type="spellEnd"/>
      <w:r w:rsidR="00B76749" w:rsidRPr="0076548B">
        <w:rPr>
          <w:lang w:val="en-GB"/>
        </w:rPr>
        <w:t>. We still don’t have results. Also we got from allegation that all necessary relative confidential information was given to CCIU.”</w:t>
      </w:r>
      <w:bookmarkEnd w:id="27"/>
    </w:p>
    <w:p w:rsidR="00B76749" w:rsidRPr="001A7437" w:rsidRDefault="00B76749" w:rsidP="00B76749">
      <w:pPr>
        <w:widowControl w:val="0"/>
        <w:tabs>
          <w:tab w:val="left" w:pos="1080"/>
        </w:tabs>
        <w:suppressAutoHyphens/>
        <w:jc w:val="both"/>
        <w:rPr>
          <w:lang w:val="en-GB"/>
        </w:rPr>
      </w:pPr>
    </w:p>
    <w:p w:rsidR="00B76749" w:rsidRPr="001A7437" w:rsidRDefault="00B76749" w:rsidP="00B76749">
      <w:pPr>
        <w:widowControl w:val="0"/>
        <w:numPr>
          <w:ilvl w:val="0"/>
          <w:numId w:val="2"/>
        </w:numPr>
        <w:tabs>
          <w:tab w:val="left" w:pos="360"/>
          <w:tab w:val="num" w:pos="630"/>
          <w:tab w:val="left" w:pos="1080"/>
        </w:tabs>
        <w:suppressAutoHyphens/>
        <w:jc w:val="both"/>
        <w:rPr>
          <w:lang w:val="en-GB"/>
        </w:rPr>
      </w:pPr>
      <w:r w:rsidRPr="001A7437">
        <w:rPr>
          <w:lang w:val="en-GB"/>
        </w:rPr>
        <w:t>Under the heading “Witness Interviewed” the Report states “None.” Under the heading labelled “Conclusion”, the Report states “We should wait for the results of DNA comparison. This case should remain open inactive within the WCU.”</w:t>
      </w:r>
    </w:p>
    <w:p w:rsidR="00B54FBD" w:rsidRPr="001A7437" w:rsidRDefault="00B54FBD" w:rsidP="00B54FBD">
      <w:pPr>
        <w:pStyle w:val="ListParagraph"/>
        <w:rPr>
          <w:lang w:val="en-GB"/>
        </w:rPr>
      </w:pPr>
    </w:p>
    <w:p w:rsidR="00B54FBD" w:rsidRPr="001A7437" w:rsidRDefault="00B54FBD" w:rsidP="00B76749">
      <w:pPr>
        <w:widowControl w:val="0"/>
        <w:numPr>
          <w:ilvl w:val="0"/>
          <w:numId w:val="2"/>
        </w:numPr>
        <w:tabs>
          <w:tab w:val="left" w:pos="360"/>
          <w:tab w:val="num" w:pos="630"/>
          <w:tab w:val="left" w:pos="1080"/>
        </w:tabs>
        <w:suppressAutoHyphens/>
        <w:jc w:val="both"/>
        <w:rPr>
          <w:lang w:val="en-GB"/>
        </w:rPr>
      </w:pPr>
      <w:r w:rsidRPr="001A7437">
        <w:rPr>
          <w:lang w:val="en-GB"/>
        </w:rPr>
        <w:t xml:space="preserve">There is a printout of </w:t>
      </w:r>
      <w:r w:rsidR="00E833BE">
        <w:rPr>
          <w:lang w:val="en-GB"/>
        </w:rPr>
        <w:t xml:space="preserve">a </w:t>
      </w:r>
      <w:r w:rsidRPr="001A7437">
        <w:rPr>
          <w:lang w:val="en-GB"/>
        </w:rPr>
        <w:t>document titled “MPU Report”, dated 27 January 2005, containing the physical description of Slavka Pantović</w:t>
      </w:r>
      <w:r w:rsidR="00A56D97" w:rsidRPr="001A7437">
        <w:rPr>
          <w:lang w:val="en-GB"/>
        </w:rPr>
        <w:t>,</w:t>
      </w:r>
      <w:r w:rsidRPr="001A7437">
        <w:rPr>
          <w:lang w:val="en-GB"/>
        </w:rPr>
        <w:t xml:space="preserve"> cross referenced with MPU file no. 2002-000468 and ICRC no. BLG-802987P.M. In the field titled “Modus” the document states “[Missing person] was taken together with </w:t>
      </w:r>
      <w:proofErr w:type="spellStart"/>
      <w:r w:rsidRPr="001A7437">
        <w:rPr>
          <w:lang w:val="en-GB"/>
        </w:rPr>
        <w:t>Pantovic</w:t>
      </w:r>
      <w:proofErr w:type="spellEnd"/>
      <w:r w:rsidRPr="001A7437">
        <w:rPr>
          <w:lang w:val="en-GB"/>
        </w:rPr>
        <w:t xml:space="preserve"> </w:t>
      </w:r>
      <w:proofErr w:type="spellStart"/>
      <w:r w:rsidRPr="001A7437">
        <w:rPr>
          <w:lang w:val="en-GB"/>
        </w:rPr>
        <w:t>Milic</w:t>
      </w:r>
      <w:proofErr w:type="spellEnd"/>
      <w:r w:rsidRPr="001A7437">
        <w:rPr>
          <w:lang w:val="en-GB"/>
        </w:rPr>
        <w:t xml:space="preserve"> (husband) and </w:t>
      </w:r>
      <w:proofErr w:type="spellStart"/>
      <w:r w:rsidRPr="001A7437">
        <w:rPr>
          <w:lang w:val="en-GB"/>
        </w:rPr>
        <w:t>Pantovic</w:t>
      </w:r>
      <w:proofErr w:type="spellEnd"/>
      <w:r w:rsidRPr="001A7437">
        <w:rPr>
          <w:lang w:val="en-GB"/>
        </w:rPr>
        <w:t xml:space="preserve"> </w:t>
      </w:r>
      <w:proofErr w:type="spellStart"/>
      <w:r w:rsidRPr="001A7437">
        <w:rPr>
          <w:lang w:val="en-GB"/>
        </w:rPr>
        <w:t>Mileva</w:t>
      </w:r>
      <w:proofErr w:type="spellEnd"/>
      <w:r w:rsidRPr="001A7437">
        <w:rPr>
          <w:lang w:val="en-GB"/>
        </w:rPr>
        <w:t xml:space="preserve"> (sister-in-law).”</w:t>
      </w:r>
    </w:p>
    <w:p w:rsidR="00B54FBD" w:rsidRPr="001A7437" w:rsidRDefault="00B54FBD" w:rsidP="00B54FBD">
      <w:pPr>
        <w:pStyle w:val="ListParagraph"/>
        <w:rPr>
          <w:lang w:val="en-GB"/>
        </w:rPr>
      </w:pPr>
    </w:p>
    <w:p w:rsidR="00B54FBD" w:rsidRPr="001A7437" w:rsidRDefault="00B54FBD" w:rsidP="00B76749">
      <w:pPr>
        <w:widowControl w:val="0"/>
        <w:numPr>
          <w:ilvl w:val="0"/>
          <w:numId w:val="2"/>
        </w:numPr>
        <w:tabs>
          <w:tab w:val="left" w:pos="360"/>
          <w:tab w:val="num" w:pos="630"/>
          <w:tab w:val="left" w:pos="1080"/>
        </w:tabs>
        <w:suppressAutoHyphens/>
        <w:jc w:val="both"/>
        <w:rPr>
          <w:lang w:val="en-GB"/>
        </w:rPr>
      </w:pPr>
      <w:r w:rsidRPr="001A7437">
        <w:rPr>
          <w:lang w:val="en-GB"/>
        </w:rPr>
        <w:t xml:space="preserve">There is a printout of a document titled “Investigation details for Investigation number </w:t>
      </w:r>
      <w:r w:rsidRPr="001A7437">
        <w:rPr>
          <w:lang w:val="en-GB"/>
        </w:rPr>
        <w:lastRenderedPageBreak/>
        <w:t xml:space="preserve">0233/INV/05”, dated 29 January 2005, containing the name of </w:t>
      </w:r>
      <w:r w:rsidR="00015CDA" w:rsidRPr="001A7437">
        <w:rPr>
          <w:lang w:val="en-GB"/>
        </w:rPr>
        <w:t xml:space="preserve">Mrs </w:t>
      </w:r>
      <w:r w:rsidRPr="001A7437">
        <w:rPr>
          <w:lang w:val="en-GB"/>
        </w:rPr>
        <w:t xml:space="preserve">Slavka Pantović. The MPU file no. 2002-000468 and ICRC no. BLG-802987-01 </w:t>
      </w:r>
      <w:proofErr w:type="gramStart"/>
      <w:r w:rsidRPr="001A7437">
        <w:rPr>
          <w:lang w:val="en-GB"/>
        </w:rPr>
        <w:t>are</w:t>
      </w:r>
      <w:proofErr w:type="gramEnd"/>
      <w:r w:rsidRPr="001A7437">
        <w:rPr>
          <w:lang w:val="en-GB"/>
        </w:rPr>
        <w:t xml:space="preserve"> listed. The field titled “Invest. </w:t>
      </w:r>
      <w:r w:rsidR="005742AF" w:rsidRPr="001A7437">
        <w:rPr>
          <w:lang w:val="en-GB"/>
        </w:rPr>
        <w:t>Notes</w:t>
      </w:r>
      <w:r w:rsidRPr="001A7437">
        <w:rPr>
          <w:lang w:val="en-GB"/>
        </w:rPr>
        <w:t xml:space="preserve">” state “See inv. report”. </w:t>
      </w:r>
    </w:p>
    <w:p w:rsidR="00F97AB9" w:rsidRPr="001A7437" w:rsidRDefault="00F97AB9" w:rsidP="00F97AB9">
      <w:pPr>
        <w:pStyle w:val="ListParagraph"/>
        <w:rPr>
          <w:lang w:val="en-GB"/>
        </w:rPr>
      </w:pPr>
    </w:p>
    <w:p w:rsidR="00F97AB9" w:rsidRPr="001A7437" w:rsidRDefault="00F97AB9" w:rsidP="00A56D97">
      <w:pPr>
        <w:rPr>
          <w:i/>
          <w:lang w:val="en-GB"/>
        </w:rPr>
      </w:pPr>
      <w:r w:rsidRPr="001A7437">
        <w:rPr>
          <w:i/>
          <w:lang w:val="en-GB"/>
        </w:rPr>
        <w:t>WCIU File</w:t>
      </w:r>
    </w:p>
    <w:p w:rsidR="00F97AB9" w:rsidRPr="001A7437" w:rsidRDefault="00F97AB9" w:rsidP="00F97AB9">
      <w:pPr>
        <w:pStyle w:val="ListParagraph"/>
        <w:rPr>
          <w:lang w:val="en-GB"/>
        </w:rPr>
      </w:pPr>
    </w:p>
    <w:p w:rsidR="00B54FBD" w:rsidRPr="001A7437" w:rsidRDefault="00F97AB9" w:rsidP="00B54FBD">
      <w:pPr>
        <w:widowControl w:val="0"/>
        <w:numPr>
          <w:ilvl w:val="0"/>
          <w:numId w:val="2"/>
        </w:numPr>
        <w:tabs>
          <w:tab w:val="left" w:pos="360"/>
          <w:tab w:val="num" w:pos="630"/>
          <w:tab w:val="left" w:pos="1080"/>
        </w:tabs>
        <w:suppressAutoHyphens/>
        <w:jc w:val="both"/>
        <w:rPr>
          <w:lang w:val="en-GB"/>
        </w:rPr>
      </w:pPr>
      <w:r w:rsidRPr="001A7437">
        <w:rPr>
          <w:lang w:val="en-GB"/>
        </w:rPr>
        <w:t xml:space="preserve">The investigative file includes a copy of the “War Crimes Unit Anti Mortem Investigation Report” mentioned above, as well as </w:t>
      </w:r>
      <w:r w:rsidR="007052E9" w:rsidRPr="001A7437">
        <w:rPr>
          <w:lang w:val="en-GB"/>
        </w:rPr>
        <w:t xml:space="preserve">the </w:t>
      </w:r>
      <w:r w:rsidRPr="001A7437">
        <w:rPr>
          <w:lang w:val="en-GB"/>
        </w:rPr>
        <w:t xml:space="preserve">printout titled “Investigation details for Investigation number 0233/INV/05”. </w:t>
      </w:r>
    </w:p>
    <w:p w:rsidR="007052E9" w:rsidRPr="001A7437" w:rsidRDefault="007052E9" w:rsidP="007052E9">
      <w:pPr>
        <w:widowControl w:val="0"/>
        <w:tabs>
          <w:tab w:val="left" w:pos="1080"/>
        </w:tabs>
        <w:suppressAutoHyphens/>
        <w:ind w:left="360"/>
        <w:jc w:val="both"/>
        <w:rPr>
          <w:lang w:val="en-GB"/>
        </w:rPr>
      </w:pPr>
    </w:p>
    <w:p w:rsidR="007052E9" w:rsidRPr="001A7437" w:rsidRDefault="007052E9" w:rsidP="00B54FBD">
      <w:pPr>
        <w:widowControl w:val="0"/>
        <w:numPr>
          <w:ilvl w:val="0"/>
          <w:numId w:val="2"/>
        </w:numPr>
        <w:tabs>
          <w:tab w:val="left" w:pos="360"/>
          <w:tab w:val="num" w:pos="630"/>
          <w:tab w:val="left" w:pos="1080"/>
        </w:tabs>
        <w:suppressAutoHyphens/>
        <w:jc w:val="both"/>
        <w:rPr>
          <w:lang w:val="en-GB"/>
        </w:rPr>
      </w:pPr>
      <w:bookmarkStart w:id="29" w:name="_Ref418246635"/>
      <w:r w:rsidRPr="001A7437">
        <w:rPr>
          <w:lang w:val="en-GB"/>
        </w:rPr>
        <w:t xml:space="preserve">The next document in the file, dated 19 October 2007, is titled “War Crimes Investigation Unit – Case Report”. The report refers to case no. 2005-00135 and lists the date of </w:t>
      </w:r>
      <w:r w:rsidR="00E833BE">
        <w:rPr>
          <w:lang w:val="en-GB"/>
        </w:rPr>
        <w:t xml:space="preserve">the </w:t>
      </w:r>
      <w:r w:rsidRPr="001A7437">
        <w:rPr>
          <w:lang w:val="en-GB"/>
        </w:rPr>
        <w:t>offence as 27 June 1999. The field titled “Type of crime” states “Kidnapping – Missing person” and the field titled “Date</w:t>
      </w:r>
      <w:r w:rsidR="00E833BE">
        <w:rPr>
          <w:lang w:val="en-GB"/>
        </w:rPr>
        <w:t xml:space="preserve"> updated” states 29 August 2005</w:t>
      </w:r>
      <w:r w:rsidRPr="001A7437">
        <w:rPr>
          <w:lang w:val="en-GB"/>
        </w:rPr>
        <w:t xml:space="preserve">. The summary states “On June 27, 1999, </w:t>
      </w:r>
      <w:proofErr w:type="spellStart"/>
      <w:r w:rsidRPr="001A7437">
        <w:rPr>
          <w:lang w:val="en-GB"/>
        </w:rPr>
        <w:t>Pantovic</w:t>
      </w:r>
      <w:proofErr w:type="spellEnd"/>
      <w:r w:rsidRPr="001A7437">
        <w:rPr>
          <w:lang w:val="en-GB"/>
        </w:rPr>
        <w:t xml:space="preserve"> family was in their house in Cara </w:t>
      </w:r>
      <w:proofErr w:type="spellStart"/>
      <w:r w:rsidRPr="001A7437">
        <w:rPr>
          <w:lang w:val="en-GB"/>
        </w:rPr>
        <w:t>Dusana</w:t>
      </w:r>
      <w:proofErr w:type="spellEnd"/>
      <w:r w:rsidRPr="001A7437">
        <w:rPr>
          <w:lang w:val="en-GB"/>
        </w:rPr>
        <w:t xml:space="preserve"> Street #227. During the night, the armed group of uniformed KLA members stormed their house using firearms and kidnapped three members of them. They are M</w:t>
      </w:r>
      <w:r w:rsidR="00854D52" w:rsidRPr="001A7437">
        <w:rPr>
          <w:lang w:val="en-GB"/>
        </w:rPr>
        <w:t xml:space="preserve">ILIC PANTOVIC, MILEVA PANTOVIC </w:t>
      </w:r>
      <w:r w:rsidRPr="001A7437">
        <w:rPr>
          <w:lang w:val="en-GB"/>
        </w:rPr>
        <w:t>AND SLAVKA PANTOVIC. They took them to unknown location. No information whatsoever was available about them. Their family has no information. The report was made to KFOR HQ.” The name of the reporting party was the sister of M</w:t>
      </w:r>
      <w:r w:rsidR="00015CDA" w:rsidRPr="001A7437">
        <w:rPr>
          <w:lang w:val="en-GB"/>
        </w:rPr>
        <w:t>r</w:t>
      </w:r>
      <w:r w:rsidRPr="001A7437">
        <w:rPr>
          <w:lang w:val="en-GB"/>
        </w:rPr>
        <w:t>s Slavka Pantović, Ms D.P.</w:t>
      </w:r>
      <w:r w:rsidR="00854D52" w:rsidRPr="001A7437">
        <w:rPr>
          <w:lang w:val="en-GB"/>
        </w:rPr>
        <w:t>,</w:t>
      </w:r>
      <w:r w:rsidR="005742AF" w:rsidRPr="001A7437">
        <w:rPr>
          <w:lang w:val="en-GB"/>
        </w:rPr>
        <w:t xml:space="preserve"> and the names of all three missing persons are listed as victims.</w:t>
      </w:r>
      <w:bookmarkEnd w:id="29"/>
    </w:p>
    <w:p w:rsidR="005742AF" w:rsidRPr="001A7437" w:rsidRDefault="005742AF" w:rsidP="005742AF">
      <w:pPr>
        <w:pStyle w:val="ListParagraph"/>
        <w:rPr>
          <w:lang w:val="en-GB"/>
        </w:rPr>
      </w:pPr>
    </w:p>
    <w:p w:rsidR="005742AF" w:rsidRPr="00134D73" w:rsidRDefault="005742AF" w:rsidP="00B54FBD">
      <w:pPr>
        <w:widowControl w:val="0"/>
        <w:numPr>
          <w:ilvl w:val="0"/>
          <w:numId w:val="2"/>
        </w:numPr>
        <w:tabs>
          <w:tab w:val="left" w:pos="360"/>
          <w:tab w:val="num" w:pos="630"/>
          <w:tab w:val="left" w:pos="1080"/>
        </w:tabs>
        <w:suppressAutoHyphens/>
        <w:jc w:val="both"/>
        <w:rPr>
          <w:lang w:val="en-GB"/>
        </w:rPr>
      </w:pPr>
      <w:bookmarkStart w:id="30" w:name="_Ref418246648"/>
      <w:r w:rsidRPr="001A7437">
        <w:rPr>
          <w:lang w:val="en-GB"/>
        </w:rPr>
        <w:t xml:space="preserve">The </w:t>
      </w:r>
      <w:r w:rsidR="007833CF" w:rsidRPr="001A7437">
        <w:rPr>
          <w:lang w:val="en-GB"/>
        </w:rPr>
        <w:t>last</w:t>
      </w:r>
      <w:r w:rsidR="00A56D97" w:rsidRPr="001A7437">
        <w:rPr>
          <w:lang w:val="en-GB"/>
        </w:rPr>
        <w:t xml:space="preserve"> document in the file</w:t>
      </w:r>
      <w:r w:rsidR="007833CF" w:rsidRPr="001A7437">
        <w:rPr>
          <w:lang w:val="en-GB"/>
        </w:rPr>
        <w:t xml:space="preserve">, dated </w:t>
      </w:r>
      <w:r w:rsidRPr="001A7437">
        <w:rPr>
          <w:lang w:val="en-GB"/>
        </w:rPr>
        <w:t xml:space="preserve">27 December 2007, </w:t>
      </w:r>
      <w:r w:rsidR="007833CF" w:rsidRPr="001A7437">
        <w:rPr>
          <w:lang w:val="en-GB"/>
        </w:rPr>
        <w:t xml:space="preserve">is </w:t>
      </w:r>
      <w:r w:rsidRPr="001A7437">
        <w:rPr>
          <w:lang w:val="en-GB"/>
        </w:rPr>
        <w:t>titled “IPU – War Crimes U</w:t>
      </w:r>
      <w:r w:rsidR="00A56D97" w:rsidRPr="001A7437">
        <w:rPr>
          <w:lang w:val="en-GB"/>
        </w:rPr>
        <w:t>ni</w:t>
      </w:r>
      <w:r w:rsidR="00E833BE">
        <w:rPr>
          <w:lang w:val="en-GB"/>
        </w:rPr>
        <w:t>t Case Analysis Report (CAR)” and</w:t>
      </w:r>
      <w:r w:rsidR="007833CF" w:rsidRPr="001A7437">
        <w:rPr>
          <w:lang w:val="en-GB"/>
        </w:rPr>
        <w:t xml:space="preserve"> bears the </w:t>
      </w:r>
      <w:r w:rsidRPr="001A7437">
        <w:rPr>
          <w:lang w:val="en-GB"/>
        </w:rPr>
        <w:t>case no. 2005-00135. The field “Current Status” states “Inactive”</w:t>
      </w:r>
      <w:r w:rsidRPr="00176699">
        <w:rPr>
          <w:lang w:val="en-GB"/>
        </w:rPr>
        <w:t xml:space="preserve">, the document reflects </w:t>
      </w:r>
      <w:r w:rsidR="00176699" w:rsidRPr="00176699">
        <w:rPr>
          <w:lang w:val="en-GB"/>
        </w:rPr>
        <w:t xml:space="preserve">Mr </w:t>
      </w:r>
      <w:proofErr w:type="spellStart"/>
      <w:r w:rsidR="00176699" w:rsidRPr="00176699">
        <w:rPr>
          <w:lang w:val="en-GB"/>
        </w:rPr>
        <w:t>Milić</w:t>
      </w:r>
      <w:proofErr w:type="spellEnd"/>
      <w:r w:rsidR="00176699" w:rsidRPr="00176699">
        <w:rPr>
          <w:lang w:val="en-GB"/>
        </w:rPr>
        <w:t xml:space="preserve"> </w:t>
      </w:r>
      <w:proofErr w:type="spellStart"/>
      <w:r w:rsidR="00176699" w:rsidRPr="00176699">
        <w:rPr>
          <w:lang w:val="en-GB"/>
        </w:rPr>
        <w:t>Pantović</w:t>
      </w:r>
      <w:proofErr w:type="spellEnd"/>
      <w:r w:rsidR="00176699" w:rsidRPr="00176699">
        <w:rPr>
          <w:lang w:val="en-GB"/>
        </w:rPr>
        <w:t xml:space="preserve">, Mrs </w:t>
      </w:r>
      <w:proofErr w:type="spellStart"/>
      <w:r w:rsidR="00176699" w:rsidRPr="00176699">
        <w:rPr>
          <w:lang w:val="en-GB"/>
        </w:rPr>
        <w:t>Mileva</w:t>
      </w:r>
      <w:proofErr w:type="spellEnd"/>
      <w:r w:rsidR="00176699" w:rsidRPr="00176699">
        <w:rPr>
          <w:lang w:val="en-GB"/>
        </w:rPr>
        <w:t xml:space="preserve"> Pantović and Mrs Slavka Pantović </w:t>
      </w:r>
      <w:r w:rsidR="00752E80" w:rsidRPr="001A7437">
        <w:rPr>
          <w:lang w:val="en-GB"/>
        </w:rPr>
        <w:t xml:space="preserve">as </w:t>
      </w:r>
      <w:r w:rsidRPr="001A7437">
        <w:rPr>
          <w:lang w:val="en-GB"/>
        </w:rPr>
        <w:t>victims, no witnesses, o</w:t>
      </w:r>
      <w:r w:rsidR="00F12A1D" w:rsidRPr="001A7437">
        <w:rPr>
          <w:lang w:val="en-GB"/>
        </w:rPr>
        <w:t xml:space="preserve">ne reporting party, no evidence, </w:t>
      </w:r>
      <w:r w:rsidRPr="001A7437">
        <w:rPr>
          <w:lang w:val="en-GB"/>
        </w:rPr>
        <w:t>no suspects</w:t>
      </w:r>
      <w:r w:rsidR="00F12A1D" w:rsidRPr="001A7437">
        <w:rPr>
          <w:lang w:val="en-GB"/>
        </w:rPr>
        <w:t xml:space="preserve"> and </w:t>
      </w:r>
      <w:r w:rsidR="00752E80" w:rsidRPr="001A7437">
        <w:rPr>
          <w:lang w:val="en-GB"/>
        </w:rPr>
        <w:t xml:space="preserve">27 June 1999 as the date of </w:t>
      </w:r>
      <w:r w:rsidR="00E833BE">
        <w:rPr>
          <w:lang w:val="en-GB"/>
        </w:rPr>
        <w:t xml:space="preserve">the </w:t>
      </w:r>
      <w:r w:rsidR="00752E80" w:rsidRPr="001A7437">
        <w:rPr>
          <w:lang w:val="en-GB"/>
        </w:rPr>
        <w:t>incident</w:t>
      </w:r>
      <w:r w:rsidRPr="001A7437">
        <w:rPr>
          <w:lang w:val="en-GB"/>
        </w:rPr>
        <w:t xml:space="preserve">. The field titled “Summary of the Crime” </w:t>
      </w:r>
      <w:r w:rsidR="00E833BE">
        <w:rPr>
          <w:lang w:val="en-GB"/>
        </w:rPr>
        <w:t xml:space="preserve">has exactly the </w:t>
      </w:r>
      <w:r w:rsidRPr="001A7437">
        <w:rPr>
          <w:lang w:val="en-GB"/>
        </w:rPr>
        <w:t>same wording as in the summary of the previous document. The field titled “Investigator Recommendation/Opinion</w:t>
      </w:r>
      <w:r w:rsidR="00A56D97" w:rsidRPr="001A7437">
        <w:rPr>
          <w:lang w:val="en-GB"/>
        </w:rPr>
        <w:t>” states:</w:t>
      </w:r>
      <w:r w:rsidRPr="001A7437">
        <w:rPr>
          <w:lang w:val="en-GB"/>
        </w:rPr>
        <w:t xml:space="preserve"> </w:t>
      </w:r>
      <w:r w:rsidR="00A56D97" w:rsidRPr="001A7437">
        <w:rPr>
          <w:lang w:val="en-GB"/>
        </w:rPr>
        <w:t>“[a]</w:t>
      </w:r>
      <w:r w:rsidRPr="001A7437">
        <w:rPr>
          <w:lang w:val="en-GB"/>
        </w:rPr>
        <w:t xml:space="preserve">s the suspects in the case are not known and there is no evidence in the file </w:t>
      </w:r>
      <w:r w:rsidRPr="00134D73">
        <w:rPr>
          <w:lang w:val="en-GB"/>
        </w:rPr>
        <w:t>regarding the realistic likelihood of identification. I think the case might be closed.”</w:t>
      </w:r>
      <w:bookmarkEnd w:id="30"/>
      <w:r w:rsidRPr="00134D73">
        <w:rPr>
          <w:lang w:val="en-GB"/>
        </w:rPr>
        <w:t xml:space="preserve"> </w:t>
      </w:r>
    </w:p>
    <w:bookmarkEnd w:id="28"/>
    <w:bookmarkEnd w:id="15"/>
    <w:p w:rsidR="00991DCC" w:rsidRPr="00134D73" w:rsidRDefault="00991DCC" w:rsidP="007A5EE7">
      <w:pPr>
        <w:widowControl w:val="0"/>
        <w:tabs>
          <w:tab w:val="left" w:pos="360"/>
          <w:tab w:val="left" w:pos="1080"/>
        </w:tabs>
        <w:suppressAutoHyphens/>
        <w:contextualSpacing/>
        <w:jc w:val="both"/>
        <w:rPr>
          <w:lang w:eastAsia="en-GB"/>
        </w:rPr>
      </w:pPr>
    </w:p>
    <w:p w:rsidR="001A7437" w:rsidRPr="00134D73" w:rsidRDefault="001A7437" w:rsidP="007A5EE7">
      <w:pPr>
        <w:widowControl w:val="0"/>
        <w:tabs>
          <w:tab w:val="left" w:pos="360"/>
          <w:tab w:val="left" w:pos="1080"/>
        </w:tabs>
        <w:suppressAutoHyphens/>
        <w:contextualSpacing/>
        <w:jc w:val="both"/>
        <w:rPr>
          <w:lang w:eastAsia="en-GB"/>
        </w:rPr>
      </w:pPr>
    </w:p>
    <w:p w:rsidR="003E3F85" w:rsidRPr="00134D73" w:rsidRDefault="003E3F85" w:rsidP="003E3F85">
      <w:pPr>
        <w:numPr>
          <w:ilvl w:val="0"/>
          <w:numId w:val="1"/>
        </w:numPr>
        <w:suppressAutoHyphens/>
        <w:autoSpaceDE w:val="0"/>
        <w:ind w:left="360" w:hanging="360"/>
        <w:jc w:val="both"/>
        <w:rPr>
          <w:b/>
          <w:bCs/>
        </w:rPr>
      </w:pPr>
      <w:r w:rsidRPr="00134D73">
        <w:rPr>
          <w:b/>
          <w:bCs/>
          <w:lang w:val="en-GB"/>
        </w:rPr>
        <w:t>THE</w:t>
      </w:r>
      <w:r w:rsidRPr="00134D73">
        <w:rPr>
          <w:b/>
          <w:bCs/>
        </w:rPr>
        <w:t xml:space="preserve"> COMPLAINT</w:t>
      </w:r>
    </w:p>
    <w:p w:rsidR="003E3F85" w:rsidRPr="00134D73" w:rsidRDefault="003E3F85" w:rsidP="007A5EE7">
      <w:pPr>
        <w:tabs>
          <w:tab w:val="left" w:pos="357"/>
        </w:tabs>
        <w:autoSpaceDE w:val="0"/>
        <w:jc w:val="both"/>
        <w:rPr>
          <w:b/>
          <w:bCs/>
          <w:lang w:val="en-GB"/>
        </w:rPr>
      </w:pPr>
    </w:p>
    <w:p w:rsidR="00991DCC" w:rsidRPr="00134D73" w:rsidRDefault="003E3F85" w:rsidP="00991DCC">
      <w:pPr>
        <w:pStyle w:val="ListParagraph"/>
        <w:numPr>
          <w:ilvl w:val="0"/>
          <w:numId w:val="2"/>
        </w:numPr>
        <w:autoSpaceDE w:val="0"/>
        <w:jc w:val="both"/>
        <w:rPr>
          <w:b/>
          <w:bCs/>
          <w:lang w:val="en-GB"/>
        </w:rPr>
      </w:pPr>
      <w:r w:rsidRPr="00134D73">
        <w:rPr>
          <w:lang w:val="en-GB"/>
        </w:rPr>
        <w:t>The complainant complains about UNMIK’s alleged failure to properly investigate the</w:t>
      </w:r>
      <w:r w:rsidR="00622236" w:rsidRPr="00134D73">
        <w:rPr>
          <w:lang w:val="en-GB"/>
        </w:rPr>
        <w:t xml:space="preserve"> </w:t>
      </w:r>
      <w:r w:rsidR="001F0511" w:rsidRPr="00134D73">
        <w:rPr>
          <w:lang w:val="en-GB"/>
        </w:rPr>
        <w:t>disappearance</w:t>
      </w:r>
      <w:r w:rsidR="00BC568C" w:rsidRPr="00134D73">
        <w:rPr>
          <w:lang w:val="en-GB"/>
        </w:rPr>
        <w:t xml:space="preserve"> </w:t>
      </w:r>
      <w:r w:rsidRPr="00134D73">
        <w:rPr>
          <w:lang w:val="en-GB"/>
        </w:rPr>
        <w:t xml:space="preserve">of </w:t>
      </w:r>
      <w:r w:rsidR="00015CDA" w:rsidRPr="00134D73">
        <w:rPr>
          <w:lang w:val="en-GB"/>
        </w:rPr>
        <w:t xml:space="preserve">Mrs </w:t>
      </w:r>
      <w:proofErr w:type="spellStart"/>
      <w:r w:rsidR="00015CDA" w:rsidRPr="00134D73">
        <w:rPr>
          <w:lang w:val="en-GB"/>
        </w:rPr>
        <w:t>Slavka</w:t>
      </w:r>
      <w:proofErr w:type="spellEnd"/>
      <w:r w:rsidR="00015CDA" w:rsidRPr="00134D73">
        <w:rPr>
          <w:lang w:val="en-GB"/>
        </w:rPr>
        <w:t xml:space="preserve"> </w:t>
      </w:r>
      <w:proofErr w:type="spellStart"/>
      <w:r w:rsidR="00015CDA" w:rsidRPr="00134D73">
        <w:rPr>
          <w:lang w:val="en-GB"/>
        </w:rPr>
        <w:t>Pantović</w:t>
      </w:r>
      <w:proofErr w:type="spellEnd"/>
      <w:r w:rsidR="00015CDA" w:rsidRPr="00134D73">
        <w:rPr>
          <w:lang w:val="en-GB"/>
        </w:rPr>
        <w:t xml:space="preserve">, Mr </w:t>
      </w:r>
      <w:proofErr w:type="spellStart"/>
      <w:r w:rsidR="00015CDA" w:rsidRPr="00134D73">
        <w:rPr>
          <w:lang w:val="en-GB"/>
        </w:rPr>
        <w:t>Milić</w:t>
      </w:r>
      <w:proofErr w:type="spellEnd"/>
      <w:r w:rsidR="00015CDA" w:rsidRPr="00134D73">
        <w:rPr>
          <w:lang w:val="en-GB"/>
        </w:rPr>
        <w:t xml:space="preserve"> </w:t>
      </w:r>
      <w:proofErr w:type="spellStart"/>
      <w:r w:rsidR="00015CDA" w:rsidRPr="00134D73">
        <w:rPr>
          <w:lang w:val="en-GB"/>
        </w:rPr>
        <w:t>Pantović</w:t>
      </w:r>
      <w:proofErr w:type="spellEnd"/>
      <w:r w:rsidR="00015CDA" w:rsidRPr="00134D73">
        <w:rPr>
          <w:lang w:val="en-GB"/>
        </w:rPr>
        <w:t xml:space="preserve"> and Mrs </w:t>
      </w:r>
      <w:proofErr w:type="spellStart"/>
      <w:r w:rsidR="00015CDA" w:rsidRPr="00134D73">
        <w:rPr>
          <w:lang w:val="en-GB"/>
        </w:rPr>
        <w:t>Mileva</w:t>
      </w:r>
      <w:proofErr w:type="spellEnd"/>
      <w:r w:rsidR="00015CDA" w:rsidRPr="00134D73">
        <w:rPr>
          <w:lang w:val="en-GB"/>
        </w:rPr>
        <w:t xml:space="preserve"> </w:t>
      </w:r>
      <w:proofErr w:type="spellStart"/>
      <w:r w:rsidR="00015CDA" w:rsidRPr="00134D73">
        <w:rPr>
          <w:lang w:val="en-GB"/>
        </w:rPr>
        <w:t>Pantović</w:t>
      </w:r>
      <w:proofErr w:type="spellEnd"/>
      <w:r w:rsidRPr="00134D73">
        <w:rPr>
          <w:lang w:val="en-GB"/>
        </w:rPr>
        <w:t>. In this regard, the Panel deems that the complainant invokes a violation of the procedural limb of Article 2 of the European Convention on Human Rights (ECHR).</w:t>
      </w:r>
      <w:r w:rsidR="005E37CD" w:rsidRPr="00134D73">
        <w:rPr>
          <w:lang w:val="en-GB"/>
        </w:rPr>
        <w:t xml:space="preserve"> </w:t>
      </w:r>
    </w:p>
    <w:p w:rsidR="0076548B" w:rsidRPr="00134D73" w:rsidRDefault="0076548B" w:rsidP="0076548B">
      <w:pPr>
        <w:autoSpaceDE w:val="0"/>
        <w:jc w:val="both"/>
        <w:rPr>
          <w:b/>
          <w:bCs/>
          <w:lang w:val="en-GB"/>
        </w:rPr>
      </w:pPr>
    </w:p>
    <w:p w:rsidR="00991DCC" w:rsidRPr="00134D73" w:rsidRDefault="00991DCC" w:rsidP="00991DCC">
      <w:pPr>
        <w:pStyle w:val="Default"/>
        <w:numPr>
          <w:ilvl w:val="0"/>
          <w:numId w:val="2"/>
        </w:numPr>
        <w:jc w:val="both"/>
        <w:rPr>
          <w:lang w:val="en-GB"/>
        </w:rPr>
      </w:pPr>
      <w:r w:rsidRPr="00134D73">
        <w:rPr>
          <w:lang w:val="en-GB"/>
        </w:rPr>
        <w:t xml:space="preserve">The complainant </w:t>
      </w:r>
      <w:r w:rsidR="00E833BE" w:rsidRPr="00134D73">
        <w:rPr>
          <w:lang w:val="en-GB"/>
        </w:rPr>
        <w:t xml:space="preserve">in essence </w:t>
      </w:r>
      <w:r w:rsidRPr="00134D73">
        <w:rPr>
          <w:lang w:val="en-GB"/>
        </w:rPr>
        <w:t xml:space="preserve">also complains about the mental pain and suffering allegedly caused to </w:t>
      </w:r>
      <w:r w:rsidR="002254B1" w:rsidRPr="00134D73">
        <w:rPr>
          <w:lang w:val="en-GB"/>
        </w:rPr>
        <w:t>him</w:t>
      </w:r>
      <w:r w:rsidRPr="00134D73">
        <w:rPr>
          <w:lang w:val="en-GB"/>
        </w:rPr>
        <w:t xml:space="preserve"> by this situation. In this regard, the Panel deems that the complainant relies on Article 3 of the ECHR. </w:t>
      </w:r>
    </w:p>
    <w:p w:rsidR="003E3F85" w:rsidRPr="00134D73" w:rsidRDefault="003E3F85" w:rsidP="003E3F85">
      <w:pPr>
        <w:autoSpaceDE w:val="0"/>
        <w:jc w:val="both"/>
        <w:rPr>
          <w:b/>
          <w:bCs/>
          <w:lang w:val="en-GB"/>
        </w:rPr>
      </w:pPr>
    </w:p>
    <w:p w:rsidR="003E3F85" w:rsidRPr="00134D73" w:rsidRDefault="003E3F85" w:rsidP="003E3F85">
      <w:pPr>
        <w:autoSpaceDE w:val="0"/>
        <w:jc w:val="both"/>
        <w:rPr>
          <w:b/>
          <w:bCs/>
          <w:lang w:val="en-GB"/>
        </w:rPr>
      </w:pPr>
    </w:p>
    <w:p w:rsidR="003E3F85" w:rsidRPr="00134D73" w:rsidRDefault="003E3F85" w:rsidP="003E3F85">
      <w:pPr>
        <w:numPr>
          <w:ilvl w:val="0"/>
          <w:numId w:val="1"/>
        </w:numPr>
        <w:suppressAutoHyphens/>
        <w:autoSpaceDE w:val="0"/>
        <w:ind w:left="360" w:hanging="360"/>
        <w:jc w:val="both"/>
        <w:rPr>
          <w:b/>
          <w:bCs/>
          <w:lang w:val="en-GB"/>
        </w:rPr>
      </w:pPr>
      <w:r w:rsidRPr="00134D73">
        <w:rPr>
          <w:b/>
          <w:bCs/>
          <w:lang w:val="en-GB"/>
        </w:rPr>
        <w:t>THE LAW</w:t>
      </w:r>
    </w:p>
    <w:p w:rsidR="003E3F85" w:rsidRPr="00E879A0" w:rsidRDefault="003E3F85" w:rsidP="003E3F85">
      <w:pPr>
        <w:suppressAutoHyphens/>
        <w:autoSpaceDE w:val="0"/>
        <w:jc w:val="both"/>
        <w:rPr>
          <w:bCs/>
          <w:lang w:val="en-GB"/>
        </w:rPr>
      </w:pPr>
    </w:p>
    <w:p w:rsidR="003E3F85" w:rsidRPr="00E879A0" w:rsidRDefault="003E3F85" w:rsidP="003E3F85">
      <w:pPr>
        <w:pStyle w:val="Default"/>
        <w:numPr>
          <w:ilvl w:val="0"/>
          <w:numId w:val="4"/>
        </w:numPr>
        <w:jc w:val="both"/>
        <w:rPr>
          <w:b/>
          <w:color w:val="auto"/>
          <w:lang w:val="en-GB"/>
        </w:rPr>
      </w:pPr>
      <w:r w:rsidRPr="00E879A0">
        <w:rPr>
          <w:b/>
          <w:color w:val="auto"/>
          <w:lang w:val="en-GB"/>
        </w:rPr>
        <w:t>Alleged violation of the procedural obligation under</w:t>
      </w:r>
      <w:r w:rsidRPr="00E879A0">
        <w:rPr>
          <w:b/>
          <w:i/>
          <w:color w:val="auto"/>
          <w:lang w:val="en-GB"/>
        </w:rPr>
        <w:t xml:space="preserve"> </w:t>
      </w:r>
      <w:r w:rsidRPr="00E879A0">
        <w:rPr>
          <w:b/>
          <w:color w:val="auto"/>
          <w:lang w:val="en-GB"/>
        </w:rPr>
        <w:t xml:space="preserve">Article 2 of the ECHR </w:t>
      </w:r>
    </w:p>
    <w:p w:rsidR="003E3F85" w:rsidRPr="00E879A0" w:rsidRDefault="003E3F85" w:rsidP="003E3F85">
      <w:pPr>
        <w:tabs>
          <w:tab w:val="left" w:pos="630"/>
          <w:tab w:val="left" w:pos="2790"/>
        </w:tabs>
        <w:suppressAutoHyphens/>
        <w:autoSpaceDE w:val="0"/>
        <w:jc w:val="both"/>
        <w:rPr>
          <w:bCs/>
          <w:lang w:val="en-GB"/>
        </w:rPr>
      </w:pPr>
    </w:p>
    <w:p w:rsidR="003E3F85" w:rsidRPr="00E879A0" w:rsidRDefault="003E3F85" w:rsidP="003E3F85">
      <w:pPr>
        <w:pStyle w:val="ListParagraph"/>
        <w:numPr>
          <w:ilvl w:val="1"/>
          <w:numId w:val="1"/>
        </w:numPr>
        <w:tabs>
          <w:tab w:val="clear" w:pos="360"/>
          <w:tab w:val="left" w:pos="357"/>
        </w:tabs>
        <w:autoSpaceDE w:val="0"/>
        <w:contextualSpacing/>
        <w:jc w:val="both"/>
        <w:rPr>
          <w:b/>
          <w:bCs/>
          <w:lang w:val="en-GB"/>
        </w:rPr>
      </w:pPr>
      <w:r w:rsidRPr="00E879A0">
        <w:rPr>
          <w:b/>
          <w:bCs/>
          <w:lang w:val="en-GB"/>
        </w:rPr>
        <w:t>The scope of the Panel’s review</w:t>
      </w:r>
    </w:p>
    <w:p w:rsidR="003E3F85" w:rsidRPr="00E879A0" w:rsidRDefault="003E3F85" w:rsidP="003E3F85">
      <w:pPr>
        <w:suppressAutoHyphens/>
        <w:autoSpaceDE w:val="0"/>
        <w:jc w:val="both"/>
        <w:rPr>
          <w:bCs/>
          <w:lang w:val="en-GB"/>
        </w:rPr>
      </w:pPr>
    </w:p>
    <w:p w:rsidR="003E3F85" w:rsidRPr="00E879A0" w:rsidRDefault="003E3F85" w:rsidP="003E3F85">
      <w:pPr>
        <w:pStyle w:val="ListParagraph"/>
        <w:numPr>
          <w:ilvl w:val="0"/>
          <w:numId w:val="2"/>
        </w:numPr>
        <w:autoSpaceDE w:val="0"/>
        <w:jc w:val="both"/>
        <w:rPr>
          <w:bCs/>
          <w:lang w:val="en-GB"/>
        </w:rPr>
      </w:pPr>
      <w:bookmarkStart w:id="31" w:name="_Ref409020267"/>
      <w:r w:rsidRPr="00E879A0">
        <w:rPr>
          <w:bCs/>
          <w:lang w:val="en-GB"/>
        </w:rPr>
        <w:t>Before turning to the examination of the merits of the complaint, the Panel needs to clarify the scope of its review.</w:t>
      </w:r>
      <w:bookmarkEnd w:id="31"/>
    </w:p>
    <w:p w:rsidR="003E3F85" w:rsidRPr="00E879A0" w:rsidRDefault="003E3F85" w:rsidP="003E3F85">
      <w:pPr>
        <w:autoSpaceDE w:val="0"/>
        <w:jc w:val="both"/>
        <w:rPr>
          <w:bCs/>
          <w:lang w:val="en-GB"/>
        </w:rPr>
      </w:pPr>
    </w:p>
    <w:p w:rsidR="003E3F85" w:rsidRPr="00E879A0" w:rsidRDefault="003E3F85" w:rsidP="003E3F85">
      <w:pPr>
        <w:pStyle w:val="ListParagraph"/>
        <w:numPr>
          <w:ilvl w:val="0"/>
          <w:numId w:val="2"/>
        </w:numPr>
        <w:autoSpaceDE w:val="0"/>
        <w:jc w:val="both"/>
        <w:rPr>
          <w:lang w:val="en-GB"/>
        </w:rPr>
      </w:pPr>
      <w:bookmarkStart w:id="32" w:name="_Ref366160496"/>
      <w:r w:rsidRPr="00E879A0">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2"/>
      <w:r w:rsidRPr="00E879A0">
        <w:rPr>
          <w:lang w:val="en-GB"/>
        </w:rPr>
        <w:t xml:space="preserve"> </w:t>
      </w:r>
    </w:p>
    <w:p w:rsidR="003E3F85" w:rsidRPr="00E879A0" w:rsidRDefault="003E3F85" w:rsidP="003E3F85">
      <w:pPr>
        <w:tabs>
          <w:tab w:val="left" w:pos="360"/>
        </w:tabs>
        <w:autoSpaceDE w:val="0"/>
        <w:ind w:left="360" w:hanging="360"/>
        <w:jc w:val="both"/>
        <w:rPr>
          <w:bCs/>
          <w:lang w:val="en-GB"/>
        </w:rPr>
      </w:pPr>
    </w:p>
    <w:p w:rsidR="003E3F85" w:rsidRPr="00E879A0" w:rsidRDefault="003E3F85" w:rsidP="003E3F85">
      <w:pPr>
        <w:numPr>
          <w:ilvl w:val="0"/>
          <w:numId w:val="2"/>
        </w:numPr>
        <w:suppressAutoHyphens/>
        <w:autoSpaceDE w:val="0"/>
        <w:jc w:val="both"/>
        <w:rPr>
          <w:lang w:val="en-GB"/>
        </w:rPr>
      </w:pPr>
      <w:bookmarkStart w:id="33" w:name="_Ref347321462"/>
      <w:bookmarkStart w:id="34" w:name="_Ref317418022"/>
      <w:r w:rsidRPr="00E879A0">
        <w:rPr>
          <w:lang w:val="en-GB" w:eastAsia="nl-BE"/>
        </w:rPr>
        <w:t xml:space="preserve">The </w:t>
      </w:r>
      <w:r w:rsidRPr="00E879A0">
        <w:rPr>
          <w:bCs/>
          <w:lang w:val="en-GB"/>
        </w:rPr>
        <w:t>Panel</w:t>
      </w:r>
      <w:r w:rsidRPr="00E879A0">
        <w:rPr>
          <w:lang w:val="en-GB" w:eastAsia="nl-BE"/>
        </w:rPr>
        <w:t xml:space="preserve"> notes that with the adoption of the UNMIK Regulation No. 1999/1 on 25 July 1999 UNMIK undertook an obligation to observe internationally recognised human </w:t>
      </w:r>
      <w:r w:rsidRPr="00E879A0">
        <w:rPr>
          <w:bCs/>
          <w:lang w:val="en-GB"/>
        </w:rPr>
        <w:t>rights</w:t>
      </w:r>
      <w:r w:rsidRPr="00E879A0">
        <w:rPr>
          <w:lang w:val="en-GB" w:eastAsia="nl-BE"/>
        </w:rPr>
        <w:t xml:space="preserve"> standards in exercising its functions. This undertaking was detailed  in UNMIK Regulation No. 1999/24 of 12 December 1999, by which UNMIK assumed obligations under the following human rights instruments</w:t>
      </w:r>
      <w:r w:rsidRPr="00E879A0">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E879A0">
          <w:rPr>
            <w:rStyle w:val="Hyperlink"/>
            <w:color w:val="auto"/>
            <w:u w:val="none"/>
            <w:lang w:val="en-GB"/>
          </w:rPr>
          <w:t>the Convention Against Torture and Other Cruel, Inhuman or Degrading Treatment or Punishment</w:t>
        </w:r>
      </w:hyperlink>
      <w:r w:rsidRPr="00E879A0">
        <w:rPr>
          <w:lang w:val="en-GB"/>
        </w:rPr>
        <w:t>, the Convention on the Rights of the Child.</w:t>
      </w:r>
      <w:bookmarkEnd w:id="33"/>
    </w:p>
    <w:p w:rsidR="003E3F85" w:rsidRPr="00E879A0" w:rsidRDefault="003E3F85" w:rsidP="003E3F85">
      <w:pPr>
        <w:tabs>
          <w:tab w:val="left" w:pos="360"/>
        </w:tabs>
        <w:suppressAutoHyphens/>
        <w:autoSpaceDE w:val="0"/>
        <w:ind w:left="360" w:hanging="360"/>
        <w:jc w:val="both"/>
        <w:rPr>
          <w:lang w:val="en-GB"/>
        </w:rPr>
      </w:pPr>
      <w:bookmarkStart w:id="35" w:name="_Ref317493050"/>
    </w:p>
    <w:p w:rsidR="003E3F85" w:rsidRPr="00E879A0" w:rsidRDefault="003E3F85" w:rsidP="003E3F85">
      <w:pPr>
        <w:numPr>
          <w:ilvl w:val="0"/>
          <w:numId w:val="2"/>
        </w:numPr>
        <w:suppressAutoHyphens/>
        <w:autoSpaceDE w:val="0"/>
        <w:jc w:val="both"/>
        <w:rPr>
          <w:lang w:val="en-GB"/>
        </w:rPr>
      </w:pPr>
      <w:bookmarkStart w:id="36" w:name="_Ref347495661"/>
      <w:r w:rsidRPr="00E879A0">
        <w:rPr>
          <w:rFonts w:cs="CAGLHH+TimesNewRoman"/>
          <w:lang w:val="en-GB"/>
        </w:rPr>
        <w:t xml:space="preserve">The Panel also notes that Section 1.2 of </w:t>
      </w:r>
      <w:r w:rsidRPr="00E879A0">
        <w:rPr>
          <w:bCs/>
          <w:lang w:val="en-GB"/>
        </w:rPr>
        <w:t xml:space="preserve">UNMIK Regulation No. 2006/12 of 23 March 2006 on the Establishment of the Human Rights Advisory Panel </w:t>
      </w:r>
      <w:r w:rsidRPr="00E879A0">
        <w:rPr>
          <w:rFonts w:cs="CAGLHH+TimesNewRoman"/>
          <w:lang w:val="en-GB"/>
        </w:rPr>
        <w:t xml:space="preserve">provides that the Panel “shall examine complaints from any person or group of individuals claiming to be the victim of a violation by UNMIK of (their) human rights”. It </w:t>
      </w:r>
      <w:r w:rsidRPr="00E879A0">
        <w:rPr>
          <w:bCs/>
          <w:lang w:val="en-GB"/>
        </w:rPr>
        <w:t>follows</w:t>
      </w:r>
      <w:r w:rsidRPr="00E879A0">
        <w:rPr>
          <w:rFonts w:cs="CAGLHH+TimesNewRoman"/>
          <w:lang w:val="en-GB"/>
        </w:rPr>
        <w:t xml:space="preserve"> that only acts or omissions attributable to UNMIK fall within the jurisdiction </w:t>
      </w:r>
      <w:r w:rsidRPr="00E879A0">
        <w:rPr>
          <w:rFonts w:cs="CAGLHH+TimesNewRoman"/>
          <w:i/>
          <w:lang w:val="en-GB"/>
        </w:rPr>
        <w:t>ratione personae</w:t>
      </w:r>
      <w:r w:rsidRPr="00E879A0">
        <w:rPr>
          <w:rFonts w:cs="CAGLHH+TimesNewRoman"/>
          <w:lang w:val="en-GB"/>
        </w:rPr>
        <w:t xml:space="preserve"> of the Panel. In this respect, it should be noted, as stated above, that as of </w:t>
      </w:r>
      <w:r w:rsidRPr="00E879A0">
        <w:rPr>
          <w:lang w:val="en-GB"/>
        </w:rPr>
        <w:t xml:space="preserve">9 December 2008, UNMIK </w:t>
      </w:r>
      <w:r w:rsidRPr="00E879A0">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E879A0">
        <w:rPr>
          <w:bCs/>
          <w:i/>
          <w:lang w:val="en-GB"/>
        </w:rPr>
        <w:t>ratione personae</w:t>
      </w:r>
      <w:r w:rsidRPr="00E879A0">
        <w:rPr>
          <w:bCs/>
          <w:lang w:val="en-GB"/>
        </w:rPr>
        <w:t xml:space="preserve"> of the Panel.</w:t>
      </w:r>
      <w:bookmarkEnd w:id="35"/>
      <w:bookmarkEnd w:id="36"/>
    </w:p>
    <w:p w:rsidR="003E3F85" w:rsidRPr="00E879A0" w:rsidRDefault="003E3F85" w:rsidP="003E3F85">
      <w:pPr>
        <w:pStyle w:val="ListParagraph"/>
        <w:tabs>
          <w:tab w:val="left" w:pos="360"/>
        </w:tabs>
        <w:ind w:left="360" w:hanging="360"/>
        <w:rPr>
          <w:lang w:val="en-GB"/>
        </w:rPr>
      </w:pPr>
    </w:p>
    <w:p w:rsidR="003E3F85" w:rsidRPr="00134D73" w:rsidRDefault="003E3F85" w:rsidP="003E3F85">
      <w:pPr>
        <w:numPr>
          <w:ilvl w:val="0"/>
          <w:numId w:val="2"/>
        </w:numPr>
        <w:suppressAutoHyphens/>
        <w:autoSpaceDE w:val="0"/>
        <w:jc w:val="both"/>
        <w:rPr>
          <w:bCs/>
          <w:lang w:val="en-GB"/>
        </w:rPr>
      </w:pPr>
      <w:bookmarkStart w:id="37" w:name="_Ref409020276"/>
      <w:r w:rsidRPr="00E879A0">
        <w:rPr>
          <w:rFonts w:cs="CAGLHH+TimesNewRoman"/>
          <w:lang w:val="en-GB"/>
        </w:rPr>
        <w:lastRenderedPageBreak/>
        <w:t xml:space="preserve">Likewise, the Panel emphasises that, as far as its jurisdiction </w:t>
      </w:r>
      <w:r w:rsidRPr="00E879A0">
        <w:rPr>
          <w:rFonts w:cs="CAGLHH+TimesNewRoman"/>
          <w:i/>
          <w:lang w:val="en-GB"/>
        </w:rPr>
        <w:t>ratione materiae</w:t>
      </w:r>
      <w:r w:rsidRPr="00E879A0">
        <w:rPr>
          <w:rFonts w:cs="CAGLHH+TimesNewRoman"/>
          <w:lang w:val="en-GB"/>
        </w:rPr>
        <w:t xml:space="preserve"> is concerned, as follows from Section 1.2 of UNMIK Regulation No. 2006/12, it can only examine complaints relating to an alleged violation of human rights. This means that it can only review acts or </w:t>
      </w:r>
      <w:r w:rsidRPr="00134D73">
        <w:rPr>
          <w:rFonts w:cs="CAGLHH+TimesNewRoman"/>
          <w:lang w:val="en-GB"/>
        </w:rPr>
        <w:t xml:space="preserve">omissions complained of for their compatibility with the international human rights instruments referred to above (see § </w:t>
      </w:r>
      <w:r w:rsidRPr="00134D73">
        <w:fldChar w:fldCharType="begin"/>
      </w:r>
      <w:r w:rsidRPr="00134D73">
        <w:instrText xml:space="preserve"> REF _Ref347321462 \r \h  \* MERGEFORMAT </w:instrText>
      </w:r>
      <w:r w:rsidRPr="00134D73">
        <w:fldChar w:fldCharType="separate"/>
      </w:r>
      <w:r w:rsidR="00AB2ED0" w:rsidRPr="00134D73">
        <w:rPr>
          <w:rFonts w:cs="CAGLHH+TimesNewRoman"/>
          <w:lang w:val="en-GB"/>
        </w:rPr>
        <w:t>51</w:t>
      </w:r>
      <w:r w:rsidRPr="00134D73">
        <w:fldChar w:fldCharType="end"/>
      </w:r>
      <w:r w:rsidRPr="00134D73">
        <w:rPr>
          <w:rFonts w:cs="CAGLHH+TimesNewRoman"/>
          <w:lang w:val="en-GB"/>
        </w:rPr>
        <w:t>).</w:t>
      </w:r>
      <w:r w:rsidRPr="00134D73">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37"/>
    </w:p>
    <w:p w:rsidR="003E3F85" w:rsidRPr="00134D73" w:rsidRDefault="003E3F85" w:rsidP="003E3F85">
      <w:pPr>
        <w:pStyle w:val="ListParagraph"/>
        <w:tabs>
          <w:tab w:val="left" w:pos="360"/>
        </w:tabs>
        <w:ind w:left="360" w:hanging="360"/>
        <w:rPr>
          <w:bCs/>
          <w:lang w:val="en-GB"/>
        </w:rPr>
      </w:pPr>
    </w:p>
    <w:p w:rsidR="003E3F85" w:rsidRPr="00134D73" w:rsidRDefault="003E3F85" w:rsidP="003E3F85">
      <w:pPr>
        <w:numPr>
          <w:ilvl w:val="0"/>
          <w:numId w:val="2"/>
        </w:numPr>
        <w:tabs>
          <w:tab w:val="left" w:pos="630"/>
          <w:tab w:val="left" w:pos="2790"/>
        </w:tabs>
        <w:suppressAutoHyphens/>
        <w:autoSpaceDE w:val="0"/>
        <w:jc w:val="both"/>
        <w:rPr>
          <w:bCs/>
          <w:lang w:val="en-GB"/>
        </w:rPr>
      </w:pPr>
      <w:bookmarkStart w:id="38" w:name="_Ref346123885"/>
      <w:r w:rsidRPr="00134D73">
        <w:rPr>
          <w:bCs/>
          <w:lang w:val="en-GB"/>
        </w:rPr>
        <w:t>The Panel further notes that Section 2 of UNMIK Regulation No. 2006/12 provides that t</w:t>
      </w:r>
      <w:r w:rsidRPr="00134D73">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34D73">
        <w:rPr>
          <w:rFonts w:cs="CAGLHH+TimesNewRoman"/>
          <w:i/>
          <w:lang w:val="en-GB"/>
        </w:rPr>
        <w:t>ratione temporis</w:t>
      </w:r>
      <w:r w:rsidRPr="00134D73">
        <w:rPr>
          <w:rFonts w:cs="CAGLHH+TimesNewRoman"/>
          <w:lang w:val="en-GB"/>
        </w:rPr>
        <w:t xml:space="preserve"> of the Panel. However, to the extent that such events gave rise to a continuing situation, the Panel has jurisdiction to examine complaints relating to that situation</w:t>
      </w:r>
      <w:bookmarkEnd w:id="34"/>
      <w:r w:rsidRPr="00134D73">
        <w:rPr>
          <w:rFonts w:cs="CAGLHH+TimesNewRoman"/>
          <w:lang w:val="en-GB"/>
        </w:rPr>
        <w:t xml:space="preserve"> (see European Court of Human Rights (ECtHR), Grand Chamber [GC], </w:t>
      </w:r>
      <w:r w:rsidRPr="00134D73">
        <w:rPr>
          <w:rFonts w:cs="CAGLHH+TimesNewRoman"/>
          <w:i/>
          <w:lang w:val="en-GB"/>
        </w:rPr>
        <w:t>Varnava and Others v. Turkey</w:t>
      </w:r>
      <w:r w:rsidRPr="00134D73">
        <w:rPr>
          <w:rFonts w:cs="CAGLHH+TimesNewRoman"/>
          <w:lang w:val="en-GB"/>
        </w:rPr>
        <w:t xml:space="preserve">, nos. 16064/90 and others, judgment of 18 September 2009, §§ 147-149; ECtHR, </w:t>
      </w:r>
      <w:r w:rsidRPr="00134D73">
        <w:rPr>
          <w:rFonts w:cs="CAGLHH+TimesNewRoman"/>
          <w:i/>
          <w:lang w:val="en-GB"/>
        </w:rPr>
        <w:t xml:space="preserve">Cyprus v. Turkey </w:t>
      </w:r>
      <w:r w:rsidRPr="00134D73">
        <w:rPr>
          <w:rFonts w:cs="CAGLHH+TimesNewRoman"/>
          <w:lang w:val="en-GB"/>
        </w:rPr>
        <w:t xml:space="preserve">[GC] no. </w:t>
      </w:r>
      <w:r w:rsidRPr="00134D73">
        <w:rPr>
          <w:rStyle w:val="s85f22697"/>
          <w:lang w:val="en-GB"/>
        </w:rPr>
        <w:t>25781/94, judgment of 10 May 2001,</w:t>
      </w:r>
      <w:r w:rsidRPr="00134D73">
        <w:rPr>
          <w:rFonts w:cs="CAGLHH+TimesNewRoman"/>
          <w:lang w:val="en-GB"/>
        </w:rPr>
        <w:t xml:space="preserve"> § 136, ECHR 2001-IV).</w:t>
      </w:r>
      <w:bookmarkEnd w:id="38"/>
      <w:r w:rsidRPr="00134D73">
        <w:rPr>
          <w:rFonts w:cs="CAGLHH+TimesNewRoman"/>
          <w:lang w:val="en-GB"/>
        </w:rPr>
        <w:t xml:space="preserve"> </w:t>
      </w:r>
    </w:p>
    <w:p w:rsidR="003E3F85" w:rsidRPr="00134D73" w:rsidRDefault="003E3F85" w:rsidP="003E3F85">
      <w:pPr>
        <w:jc w:val="both"/>
        <w:rPr>
          <w:lang w:val="en-GB"/>
        </w:rPr>
      </w:pPr>
    </w:p>
    <w:p w:rsidR="003E3F85" w:rsidRPr="00134D73" w:rsidRDefault="003E3F85" w:rsidP="003E3F85">
      <w:pPr>
        <w:pStyle w:val="ListParagraph"/>
        <w:numPr>
          <w:ilvl w:val="1"/>
          <w:numId w:val="1"/>
        </w:numPr>
        <w:tabs>
          <w:tab w:val="clear" w:pos="360"/>
          <w:tab w:val="left" w:pos="357"/>
        </w:tabs>
        <w:autoSpaceDE w:val="0"/>
        <w:contextualSpacing/>
        <w:jc w:val="both"/>
        <w:rPr>
          <w:b/>
          <w:bCs/>
          <w:lang w:val="en-GB"/>
        </w:rPr>
      </w:pPr>
      <w:r w:rsidRPr="00134D73">
        <w:rPr>
          <w:b/>
          <w:bCs/>
          <w:lang w:val="en-GB"/>
        </w:rPr>
        <w:t xml:space="preserve">The Parties’ submissions </w:t>
      </w:r>
    </w:p>
    <w:p w:rsidR="003E3F85" w:rsidRPr="00134D73" w:rsidRDefault="003E3F85" w:rsidP="003E3F85">
      <w:pPr>
        <w:rPr>
          <w:b/>
          <w:lang w:val="en-GB"/>
        </w:rPr>
      </w:pPr>
    </w:p>
    <w:p w:rsidR="003E3F85" w:rsidRPr="00134D73" w:rsidRDefault="003E3F85" w:rsidP="003E3F85">
      <w:pPr>
        <w:numPr>
          <w:ilvl w:val="0"/>
          <w:numId w:val="2"/>
        </w:numPr>
        <w:suppressAutoHyphens/>
        <w:autoSpaceDE w:val="0"/>
        <w:jc w:val="both"/>
        <w:rPr>
          <w:lang w:val="en-GB"/>
        </w:rPr>
      </w:pPr>
      <w:r w:rsidRPr="00134D73">
        <w:rPr>
          <w:lang w:val="en-GB"/>
        </w:rPr>
        <w:t>The complainant in substance alleges a violation concerning the lack of an adequate criminal investigation into</w:t>
      </w:r>
      <w:r w:rsidR="002948A6" w:rsidRPr="00134D73">
        <w:rPr>
          <w:lang w:val="en-GB"/>
        </w:rPr>
        <w:t xml:space="preserve"> the</w:t>
      </w:r>
      <w:r w:rsidR="00991DCC" w:rsidRPr="00134D73">
        <w:rPr>
          <w:lang w:val="en-GB"/>
        </w:rPr>
        <w:t xml:space="preserve"> </w:t>
      </w:r>
      <w:r w:rsidR="001F0511" w:rsidRPr="00134D73">
        <w:rPr>
          <w:lang w:val="en-GB"/>
        </w:rPr>
        <w:t>disappearance</w:t>
      </w:r>
      <w:r w:rsidR="00AD7F08" w:rsidRPr="00134D73">
        <w:rPr>
          <w:lang w:val="en-GB"/>
        </w:rPr>
        <w:t xml:space="preserve"> </w:t>
      </w:r>
      <w:r w:rsidR="002254B1" w:rsidRPr="00134D73">
        <w:rPr>
          <w:lang w:val="en-GB"/>
        </w:rPr>
        <w:t xml:space="preserve">of Mrs </w:t>
      </w:r>
      <w:proofErr w:type="spellStart"/>
      <w:r w:rsidR="002254B1" w:rsidRPr="00134D73">
        <w:rPr>
          <w:lang w:val="en-GB"/>
        </w:rPr>
        <w:t>Slavka</w:t>
      </w:r>
      <w:proofErr w:type="spellEnd"/>
      <w:r w:rsidR="002254B1" w:rsidRPr="00134D73">
        <w:rPr>
          <w:lang w:val="en-GB"/>
        </w:rPr>
        <w:t xml:space="preserve"> </w:t>
      </w:r>
      <w:proofErr w:type="spellStart"/>
      <w:r w:rsidR="002254B1" w:rsidRPr="00134D73">
        <w:rPr>
          <w:lang w:val="en-GB"/>
        </w:rPr>
        <w:t>Pantović</w:t>
      </w:r>
      <w:proofErr w:type="spellEnd"/>
      <w:r w:rsidR="002254B1" w:rsidRPr="00134D73">
        <w:rPr>
          <w:lang w:val="en-GB"/>
        </w:rPr>
        <w:t xml:space="preserve">, Mr </w:t>
      </w:r>
      <w:proofErr w:type="spellStart"/>
      <w:r w:rsidR="002254B1" w:rsidRPr="00134D73">
        <w:rPr>
          <w:lang w:val="en-GB"/>
        </w:rPr>
        <w:t>Milić</w:t>
      </w:r>
      <w:proofErr w:type="spellEnd"/>
      <w:r w:rsidR="002254B1" w:rsidRPr="00134D73">
        <w:rPr>
          <w:lang w:val="en-GB"/>
        </w:rPr>
        <w:t xml:space="preserve"> </w:t>
      </w:r>
      <w:proofErr w:type="spellStart"/>
      <w:r w:rsidR="002254B1" w:rsidRPr="00134D73">
        <w:rPr>
          <w:lang w:val="en-GB"/>
        </w:rPr>
        <w:t>Pantović</w:t>
      </w:r>
      <w:proofErr w:type="spellEnd"/>
      <w:r w:rsidR="002254B1" w:rsidRPr="00134D73">
        <w:rPr>
          <w:lang w:val="en-GB"/>
        </w:rPr>
        <w:t xml:space="preserve"> and Mrs </w:t>
      </w:r>
      <w:proofErr w:type="spellStart"/>
      <w:r w:rsidR="002254B1" w:rsidRPr="00134D73">
        <w:rPr>
          <w:lang w:val="en-GB"/>
        </w:rPr>
        <w:t>Mileva</w:t>
      </w:r>
      <w:proofErr w:type="spellEnd"/>
      <w:r w:rsidR="002254B1" w:rsidRPr="00134D73">
        <w:rPr>
          <w:lang w:val="en-GB"/>
        </w:rPr>
        <w:t xml:space="preserve"> </w:t>
      </w:r>
      <w:proofErr w:type="spellStart"/>
      <w:r w:rsidR="002254B1" w:rsidRPr="00134D73">
        <w:rPr>
          <w:lang w:val="en-GB"/>
        </w:rPr>
        <w:t>Pantović</w:t>
      </w:r>
      <w:proofErr w:type="spellEnd"/>
      <w:r w:rsidR="002254B1" w:rsidRPr="00134D73">
        <w:rPr>
          <w:lang w:val="en-GB"/>
        </w:rPr>
        <w:t>.</w:t>
      </w:r>
    </w:p>
    <w:p w:rsidR="002948A6" w:rsidRPr="00134D73" w:rsidRDefault="002948A6" w:rsidP="002948A6">
      <w:pPr>
        <w:suppressAutoHyphens/>
        <w:autoSpaceDE w:val="0"/>
        <w:ind w:left="360"/>
        <w:jc w:val="both"/>
        <w:rPr>
          <w:lang w:val="en-GB"/>
        </w:rPr>
      </w:pPr>
    </w:p>
    <w:p w:rsidR="003E3F85" w:rsidRPr="00134D73" w:rsidRDefault="003E3F85" w:rsidP="003E3F85">
      <w:pPr>
        <w:numPr>
          <w:ilvl w:val="0"/>
          <w:numId w:val="2"/>
        </w:numPr>
        <w:suppressAutoHyphens/>
        <w:autoSpaceDE w:val="0"/>
        <w:jc w:val="both"/>
        <w:rPr>
          <w:bCs/>
          <w:lang w:val="en-GB"/>
        </w:rPr>
      </w:pPr>
      <w:r w:rsidRPr="00134D73">
        <w:rPr>
          <w:bCs/>
          <w:lang w:val="en-GB"/>
        </w:rPr>
        <w:t xml:space="preserve">In his comments on the merits of the complaint, the SRSG </w:t>
      </w:r>
      <w:r w:rsidRPr="00134D73">
        <w:rPr>
          <w:lang w:val="en-GB"/>
        </w:rPr>
        <w:t xml:space="preserve">does not dispute </w:t>
      </w:r>
      <w:r w:rsidRPr="00134D73">
        <w:rPr>
          <w:bCs/>
          <w:lang w:val="en-GB"/>
        </w:rPr>
        <w:t xml:space="preserve">that UNMIK had a responsibility to conduct an effective investigation into </w:t>
      </w:r>
      <w:r w:rsidR="00991DCC" w:rsidRPr="00134D73">
        <w:rPr>
          <w:lang w:val="en-GB"/>
        </w:rPr>
        <w:t xml:space="preserve">the </w:t>
      </w:r>
      <w:r w:rsidR="00854D52" w:rsidRPr="00134D73">
        <w:rPr>
          <w:lang w:val="en-GB"/>
        </w:rPr>
        <w:t xml:space="preserve">disappearance </w:t>
      </w:r>
      <w:r w:rsidR="002254B1" w:rsidRPr="00134D73">
        <w:rPr>
          <w:lang w:val="en-GB"/>
        </w:rPr>
        <w:t xml:space="preserve">of Mrs </w:t>
      </w:r>
      <w:proofErr w:type="spellStart"/>
      <w:r w:rsidR="002254B1" w:rsidRPr="00134D73">
        <w:rPr>
          <w:lang w:val="en-GB"/>
        </w:rPr>
        <w:t>Slavka</w:t>
      </w:r>
      <w:proofErr w:type="spellEnd"/>
      <w:r w:rsidR="002254B1" w:rsidRPr="00134D73">
        <w:rPr>
          <w:lang w:val="en-GB"/>
        </w:rPr>
        <w:t xml:space="preserve"> </w:t>
      </w:r>
      <w:proofErr w:type="spellStart"/>
      <w:r w:rsidR="002254B1" w:rsidRPr="00134D73">
        <w:rPr>
          <w:lang w:val="en-GB"/>
        </w:rPr>
        <w:t>Pantović</w:t>
      </w:r>
      <w:proofErr w:type="spellEnd"/>
      <w:r w:rsidR="002254B1" w:rsidRPr="00134D73">
        <w:rPr>
          <w:lang w:val="en-GB"/>
        </w:rPr>
        <w:t xml:space="preserve">, Mr </w:t>
      </w:r>
      <w:proofErr w:type="spellStart"/>
      <w:r w:rsidR="002254B1" w:rsidRPr="00134D73">
        <w:rPr>
          <w:lang w:val="en-GB"/>
        </w:rPr>
        <w:t>Milić</w:t>
      </w:r>
      <w:proofErr w:type="spellEnd"/>
      <w:r w:rsidR="002254B1" w:rsidRPr="00134D73">
        <w:rPr>
          <w:lang w:val="en-GB"/>
        </w:rPr>
        <w:t xml:space="preserve"> </w:t>
      </w:r>
      <w:proofErr w:type="spellStart"/>
      <w:r w:rsidR="002254B1" w:rsidRPr="00134D73">
        <w:rPr>
          <w:lang w:val="en-GB"/>
        </w:rPr>
        <w:t>Pantović</w:t>
      </w:r>
      <w:proofErr w:type="spellEnd"/>
      <w:r w:rsidR="002254B1" w:rsidRPr="00134D73">
        <w:rPr>
          <w:lang w:val="en-GB"/>
        </w:rPr>
        <w:t xml:space="preserve"> and Mrs </w:t>
      </w:r>
      <w:proofErr w:type="spellStart"/>
      <w:r w:rsidR="002254B1" w:rsidRPr="00134D73">
        <w:rPr>
          <w:lang w:val="en-GB"/>
        </w:rPr>
        <w:t>Mileva</w:t>
      </w:r>
      <w:proofErr w:type="spellEnd"/>
      <w:r w:rsidR="002254B1" w:rsidRPr="00134D73">
        <w:rPr>
          <w:lang w:val="en-GB"/>
        </w:rPr>
        <w:t xml:space="preserve"> </w:t>
      </w:r>
      <w:proofErr w:type="spellStart"/>
      <w:r w:rsidR="002254B1" w:rsidRPr="00134D73">
        <w:rPr>
          <w:lang w:val="en-GB"/>
        </w:rPr>
        <w:t>Pantović</w:t>
      </w:r>
      <w:proofErr w:type="spellEnd"/>
      <w:r w:rsidRPr="00134D73">
        <w:rPr>
          <w:b/>
          <w:bCs/>
          <w:lang w:val="en-GB"/>
        </w:rPr>
        <w:t>,</w:t>
      </w:r>
      <w:r w:rsidRPr="00134D73">
        <w:rPr>
          <w:bCs/>
          <w:lang w:val="en-GB"/>
        </w:rPr>
        <w:t xml:space="preserve"> in line with its general obligation to secure the effective implementation of the domestic laws which protect the right to life, given to it by UN Security Council Resolution 1244 (1999) (see § </w:t>
      </w:r>
      <w:r w:rsidRPr="00134D73">
        <w:fldChar w:fldCharType="begin"/>
      </w:r>
      <w:r w:rsidRPr="00134D73">
        <w:instrText xml:space="preserve"> REF _Ref373941473 \r \h  \* MERGEFORMAT </w:instrText>
      </w:r>
      <w:r w:rsidRPr="00134D73">
        <w:fldChar w:fldCharType="separate"/>
      </w:r>
      <w:r w:rsidR="00AB2ED0" w:rsidRPr="00134D73">
        <w:rPr>
          <w:bCs/>
          <w:lang w:val="en-GB"/>
        </w:rPr>
        <w:t>12</w:t>
      </w:r>
      <w:r w:rsidRPr="00134D73">
        <w:fldChar w:fldCharType="end"/>
      </w:r>
      <w:r w:rsidRPr="00134D73">
        <w:rPr>
          <w:bCs/>
          <w:lang w:val="en-GB"/>
        </w:rPr>
        <w:t xml:space="preserve"> above) and further defined by UNMIK Regulation No. 1999/1 </w:t>
      </w:r>
      <w:r w:rsidRPr="00134D73">
        <w:rPr>
          <w:bCs/>
          <w:i/>
          <w:lang w:val="en-GB"/>
        </w:rPr>
        <w:t>On the Authority of the Interim Administration in Kosovo</w:t>
      </w:r>
      <w:r w:rsidRPr="00134D73">
        <w:rPr>
          <w:bCs/>
          <w:lang w:val="en-GB"/>
        </w:rPr>
        <w:t xml:space="preserve"> and subsequently, UNMIK Regulation 1999/24 </w:t>
      </w:r>
      <w:r w:rsidRPr="00134D73">
        <w:rPr>
          <w:bCs/>
          <w:i/>
          <w:lang w:val="en-GB"/>
        </w:rPr>
        <w:t>On the Law Applicable in Kosovo,</w:t>
      </w:r>
      <w:r w:rsidRPr="00134D73">
        <w:rPr>
          <w:bCs/>
          <w:lang w:val="en-GB"/>
        </w:rPr>
        <w:t xml:space="preserve"> and Article 2 of the ECHR.</w:t>
      </w:r>
    </w:p>
    <w:p w:rsidR="003E3F85" w:rsidRPr="00134D73" w:rsidRDefault="003E3F85" w:rsidP="003E3F85">
      <w:pPr>
        <w:suppressAutoHyphens/>
        <w:autoSpaceDE w:val="0"/>
        <w:ind w:left="360"/>
        <w:jc w:val="both"/>
        <w:rPr>
          <w:bCs/>
          <w:lang w:val="en-GB"/>
        </w:rPr>
      </w:pPr>
    </w:p>
    <w:p w:rsidR="003E3F85" w:rsidRPr="00E879A0" w:rsidRDefault="003E3F85" w:rsidP="003E3F85">
      <w:pPr>
        <w:numPr>
          <w:ilvl w:val="0"/>
          <w:numId w:val="2"/>
        </w:numPr>
        <w:suppressAutoHyphens/>
        <w:autoSpaceDE w:val="0"/>
        <w:jc w:val="both"/>
        <w:rPr>
          <w:bCs/>
          <w:lang w:val="en-GB"/>
        </w:rPr>
      </w:pPr>
      <w:r w:rsidRPr="00134D73">
        <w:t>In this regard, the SRSG stresses that this responsibility stems from the procedural obligation under Article 2 of the ECHR to conduct an effective investigation where death occurs in suspicious circumstances not imputable to State agents.</w:t>
      </w:r>
      <w:bookmarkStart w:id="39" w:name="_Ref347846976"/>
      <w:r w:rsidRPr="00134D73">
        <w:rPr>
          <w:bCs/>
          <w:lang w:val="en-GB"/>
        </w:rPr>
        <w:t xml:space="preserve"> He argues that, in general, when considering whether UNMIK has satisfied its procedural obligations under Article 2 of the ECHR, the Panel must take i</w:t>
      </w:r>
      <w:r w:rsidRPr="00E879A0">
        <w:rPr>
          <w:bCs/>
          <w:lang w:val="en-GB"/>
        </w:rPr>
        <w:t>nto consideration the special circumstances in Kosovo at the time.</w:t>
      </w:r>
      <w:bookmarkEnd w:id="39"/>
    </w:p>
    <w:p w:rsidR="00BD43B1" w:rsidRPr="00E879A0" w:rsidRDefault="00BD43B1" w:rsidP="00BD43B1">
      <w:pPr>
        <w:pStyle w:val="ListParagraph"/>
        <w:rPr>
          <w:bCs/>
          <w:lang w:val="en-GB"/>
        </w:rPr>
      </w:pPr>
    </w:p>
    <w:p w:rsidR="00BD43B1" w:rsidRPr="00E879A0" w:rsidRDefault="00BD43B1" w:rsidP="00BD43B1">
      <w:pPr>
        <w:numPr>
          <w:ilvl w:val="0"/>
          <w:numId w:val="2"/>
        </w:numPr>
        <w:tabs>
          <w:tab w:val="left" w:pos="709"/>
        </w:tabs>
        <w:suppressAutoHyphens/>
        <w:autoSpaceDE w:val="0"/>
        <w:jc w:val="both"/>
        <w:rPr>
          <w:lang w:eastAsia="nl-NL"/>
        </w:rPr>
      </w:pPr>
      <w:r w:rsidRPr="00E879A0">
        <w:t xml:space="preserve">The </w:t>
      </w:r>
      <w:r w:rsidRPr="00E879A0">
        <w:rPr>
          <w:bCs/>
          <w:lang w:val="en-GB"/>
        </w:rPr>
        <w:t>SRSG</w:t>
      </w:r>
      <w:r w:rsidRPr="00E879A0">
        <w:t xml:space="preserve"> considers that the obligation is two-fold, including an obligation to determine through investigation the fate and/or whereabouts of the </w:t>
      </w:r>
      <w:r w:rsidR="00A3533C">
        <w:t xml:space="preserve">missing </w:t>
      </w:r>
      <w:r w:rsidRPr="00E879A0">
        <w:t>person</w:t>
      </w:r>
      <w:r w:rsidR="0076548B">
        <w:t>s</w:t>
      </w:r>
      <w:r w:rsidRPr="00E879A0">
        <w:t xml:space="preserve">; and an obligation to conduct an investigation capable of determining whether the death was caused unlawfully </w:t>
      </w:r>
      <w:r w:rsidRPr="00E879A0">
        <w:lastRenderedPageBreak/>
        <w:t>and leading to the identification and punishment of those responsible for the disappearance and/or death of the missing person.</w:t>
      </w:r>
    </w:p>
    <w:p w:rsidR="003E3F85" w:rsidRPr="00E879A0" w:rsidRDefault="003E3F85" w:rsidP="003E3F85">
      <w:pPr>
        <w:pStyle w:val="ListParagraph"/>
        <w:rPr>
          <w:lang w:val="en-GB"/>
        </w:rPr>
      </w:pPr>
    </w:p>
    <w:p w:rsidR="003E3F85" w:rsidRPr="00E879A0" w:rsidRDefault="00AD7F08" w:rsidP="003E3F85">
      <w:pPr>
        <w:numPr>
          <w:ilvl w:val="0"/>
          <w:numId w:val="2"/>
        </w:numPr>
        <w:tabs>
          <w:tab w:val="left" w:pos="709"/>
        </w:tabs>
        <w:suppressAutoHyphens/>
        <w:autoSpaceDE w:val="0"/>
        <w:jc w:val="both"/>
        <w:rPr>
          <w:bCs/>
          <w:lang w:val="en-GB"/>
        </w:rPr>
      </w:pPr>
      <w:r w:rsidRPr="00E879A0">
        <w:rPr>
          <w:lang w:val="en-GB"/>
        </w:rPr>
        <w:t>The SRSG adds that in</w:t>
      </w:r>
      <w:r w:rsidR="00A62C6D" w:rsidRPr="00E879A0">
        <w:rPr>
          <w:lang w:val="en-GB"/>
        </w:rPr>
        <w:t xml:space="preserve"> June</w:t>
      </w:r>
      <w:r w:rsidR="003E3F85" w:rsidRPr="00E879A0">
        <w:rPr>
          <w:lang w:val="en-GB"/>
        </w:rPr>
        <w:t xml:space="preserve"> 1999, “the security situation </w:t>
      </w:r>
      <w:r w:rsidR="00E92DED">
        <w:rPr>
          <w:lang w:val="en-GB"/>
        </w:rPr>
        <w:t>in post-conflict Kosovo remained</w:t>
      </w:r>
      <w:r w:rsidR="009A6E2B">
        <w:rPr>
          <w:lang w:val="en-GB"/>
        </w:rPr>
        <w:t xml:space="preserve"> tense.</w:t>
      </w:r>
      <w:r w:rsidR="00622236" w:rsidRPr="00E879A0">
        <w:rPr>
          <w:lang w:val="en-GB"/>
        </w:rPr>
        <w:t xml:space="preserve"> </w:t>
      </w:r>
      <w:r w:rsidR="003E3F85" w:rsidRPr="00E879A0">
        <w:rPr>
          <w:lang w:val="en-GB"/>
        </w:rPr>
        <w:t>KFOR was still in the process of reaching sufficient strength to maintain public safety and law and order and there were a number of serious criminal incidents targeting Kosovo-Serbs, including abductions and killings.”</w:t>
      </w:r>
    </w:p>
    <w:p w:rsidR="003E3F85" w:rsidRPr="00E879A0" w:rsidRDefault="003E3F85" w:rsidP="00BD43B1">
      <w:pPr>
        <w:rPr>
          <w:lang w:val="en-GB"/>
        </w:rPr>
      </w:pPr>
    </w:p>
    <w:p w:rsidR="003E3F85" w:rsidRPr="00E879A0" w:rsidRDefault="003E3F85" w:rsidP="003E3F85">
      <w:pPr>
        <w:numPr>
          <w:ilvl w:val="0"/>
          <w:numId w:val="2"/>
        </w:numPr>
        <w:tabs>
          <w:tab w:val="left" w:pos="709"/>
        </w:tabs>
        <w:suppressAutoHyphens/>
        <w:autoSpaceDE w:val="0"/>
        <w:jc w:val="both"/>
        <w:rPr>
          <w:lang w:eastAsia="nl-NL"/>
        </w:rPr>
      </w:pPr>
      <w:bookmarkStart w:id="40" w:name="_Ref368311784"/>
      <w:r w:rsidRPr="00E879A0">
        <w:rPr>
          <w:bCs/>
        </w:rPr>
        <w:t xml:space="preserve">The SRSG argues that </w:t>
      </w:r>
      <w:r w:rsidRPr="00E879A0">
        <w:rPr>
          <w:lang w:val="en-GB"/>
        </w:rPr>
        <w:t>in</w:t>
      </w:r>
      <w:r w:rsidRPr="00E879A0">
        <w:rPr>
          <w:bCs/>
        </w:rPr>
        <w:t xml:space="preserve"> its case-law on Article 2, the European Court of Human Rights has stated </w:t>
      </w:r>
      <w:r w:rsidRPr="00E879A0">
        <w:rPr>
          <w:bCs/>
          <w:lang w:val="en-GB"/>
        </w:rPr>
        <w:t>that</w:t>
      </w:r>
      <w:r w:rsidRPr="00E879A0">
        <w:rPr>
          <w:bCs/>
        </w:rPr>
        <w:t xml:space="preserve"> due consideration shall be given to the difficulties inherent to post-conflict situations and the problems limiting the ability of investigating authorities</w:t>
      </w:r>
      <w:r w:rsidR="00711C23" w:rsidRPr="00E879A0">
        <w:rPr>
          <w:bCs/>
        </w:rPr>
        <w:t xml:space="preserve"> when conducting investigations in</w:t>
      </w:r>
      <w:r w:rsidRPr="00E879A0">
        <w:rPr>
          <w:bCs/>
        </w:rPr>
        <w:t xml:space="preserve"> such cases. </w:t>
      </w:r>
      <w:r w:rsidRPr="00E879A0">
        <w:t xml:space="preserve">In this regard, the SRSG recalls the judgment of 15 February 2011 rendered by the European Court in the case </w:t>
      </w:r>
      <w:r w:rsidRPr="00E879A0">
        <w:rPr>
          <w:i/>
        </w:rPr>
        <w:t>Palić v. Bosnia and Herzegovina</w:t>
      </w:r>
      <w:r w:rsidR="00711C23" w:rsidRPr="00E879A0">
        <w:rPr>
          <w:i/>
        </w:rPr>
        <w:t>,</w:t>
      </w:r>
      <w:r w:rsidRPr="00E879A0">
        <w:t xml:space="preserve"> stating at paragraph 70:</w:t>
      </w:r>
      <w:bookmarkEnd w:id="40"/>
    </w:p>
    <w:p w:rsidR="003E3F85" w:rsidRPr="00E879A0" w:rsidRDefault="003E3F85" w:rsidP="003E3F85">
      <w:pPr>
        <w:pStyle w:val="ListParagraph"/>
        <w:rPr>
          <w:lang w:eastAsia="nl-NL"/>
        </w:rPr>
      </w:pPr>
    </w:p>
    <w:p w:rsidR="003E3F85" w:rsidRPr="00E879A0" w:rsidRDefault="003E3F85" w:rsidP="00CA379B">
      <w:pPr>
        <w:ind w:left="862" w:right="567"/>
        <w:jc w:val="both"/>
        <w:rPr>
          <w:lang w:eastAsia="nl-NL"/>
        </w:rPr>
      </w:pPr>
      <w:r w:rsidRPr="00E879A0">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E879A0" w:rsidRDefault="003E3F85" w:rsidP="003E3F85">
      <w:pPr>
        <w:pStyle w:val="ListParagraph"/>
        <w:rPr>
          <w:lang w:eastAsia="en-US"/>
        </w:rPr>
      </w:pPr>
    </w:p>
    <w:p w:rsidR="003E3F85" w:rsidRPr="00E879A0" w:rsidRDefault="003E3F85" w:rsidP="003E3F85">
      <w:pPr>
        <w:numPr>
          <w:ilvl w:val="0"/>
          <w:numId w:val="2"/>
        </w:numPr>
        <w:tabs>
          <w:tab w:val="left" w:pos="709"/>
        </w:tabs>
        <w:suppressAutoHyphens/>
        <w:autoSpaceDE w:val="0"/>
        <w:jc w:val="both"/>
        <w:rPr>
          <w:lang w:eastAsia="nl-NL"/>
        </w:rPr>
      </w:pPr>
      <w:r w:rsidRPr="00E879A0">
        <w:t xml:space="preserve">In the </w:t>
      </w:r>
      <w:r w:rsidRPr="00E879A0">
        <w:rPr>
          <w:bCs/>
          <w:lang w:val="en-GB"/>
        </w:rPr>
        <w:t>view</w:t>
      </w:r>
      <w:r w:rsidRPr="00E879A0">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E879A0" w:rsidRDefault="003E3F85" w:rsidP="00A62C6D">
      <w:pPr>
        <w:autoSpaceDE w:val="0"/>
        <w:jc w:val="both"/>
      </w:pPr>
    </w:p>
    <w:p w:rsidR="003E3F85" w:rsidRPr="00E879A0" w:rsidRDefault="003E3F85" w:rsidP="003E3F85">
      <w:pPr>
        <w:numPr>
          <w:ilvl w:val="0"/>
          <w:numId w:val="2"/>
        </w:numPr>
        <w:tabs>
          <w:tab w:val="left" w:pos="709"/>
        </w:tabs>
        <w:suppressAutoHyphens/>
        <w:autoSpaceDE w:val="0"/>
        <w:jc w:val="both"/>
        <w:rPr>
          <w:lang w:eastAsia="nl-NL"/>
        </w:rPr>
      </w:pPr>
      <w:bookmarkStart w:id="41" w:name="_Ref373942084"/>
      <w:r w:rsidRPr="00E879A0">
        <w:t xml:space="preserve">The </w:t>
      </w:r>
      <w:r w:rsidRPr="00E879A0">
        <w:rPr>
          <w:bCs/>
          <w:lang w:val="en-GB"/>
        </w:rPr>
        <w:t>SRSG</w:t>
      </w:r>
      <w:r w:rsidRPr="00E879A0">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1"/>
    </w:p>
    <w:p w:rsidR="003E3F85" w:rsidRPr="00E879A0" w:rsidRDefault="003E3F85" w:rsidP="003E3F85">
      <w:pPr>
        <w:pStyle w:val="ListParagraph"/>
        <w:rPr>
          <w:lang w:eastAsia="nl-NL"/>
        </w:rPr>
      </w:pPr>
    </w:p>
    <w:p w:rsidR="003E3F85" w:rsidRPr="00E879A0" w:rsidRDefault="003E3F85" w:rsidP="00CA379B">
      <w:pPr>
        <w:ind w:left="862" w:right="567"/>
        <w:jc w:val="both"/>
        <w:rPr>
          <w:lang w:eastAsia="nl-NL"/>
        </w:rPr>
      </w:pPr>
      <w:r w:rsidRPr="00E879A0">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E879A0" w:rsidRDefault="003E3F85" w:rsidP="003E3F85">
      <w:pPr>
        <w:pStyle w:val="ListParagraph"/>
        <w:jc w:val="both"/>
        <w:rPr>
          <w:lang w:eastAsia="nl-NL"/>
        </w:rPr>
      </w:pPr>
    </w:p>
    <w:p w:rsidR="003E3F85" w:rsidRPr="00E879A0" w:rsidRDefault="003E3F85" w:rsidP="00CA379B">
      <w:pPr>
        <w:ind w:left="862" w:right="567"/>
        <w:jc w:val="both"/>
        <w:rPr>
          <w:lang w:eastAsia="nl-NL"/>
        </w:rPr>
      </w:pPr>
      <w:r w:rsidRPr="00E879A0">
        <w:rPr>
          <w:lang w:eastAsia="nl-NL"/>
        </w:rPr>
        <w:lastRenderedPageBreak/>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E879A0" w:rsidRDefault="003E3F85" w:rsidP="003E3F85">
      <w:pPr>
        <w:pStyle w:val="ListParagraph"/>
        <w:rPr>
          <w:lang w:eastAsia="en-US"/>
        </w:rPr>
      </w:pPr>
    </w:p>
    <w:p w:rsidR="003E3F85" w:rsidRPr="00134D73" w:rsidRDefault="003E3F85" w:rsidP="003E3F85">
      <w:pPr>
        <w:numPr>
          <w:ilvl w:val="0"/>
          <w:numId w:val="2"/>
        </w:numPr>
        <w:tabs>
          <w:tab w:val="left" w:pos="709"/>
        </w:tabs>
        <w:suppressAutoHyphens/>
        <w:autoSpaceDE w:val="0"/>
        <w:jc w:val="both"/>
        <w:rPr>
          <w:lang w:eastAsia="nl-NL"/>
        </w:rPr>
      </w:pPr>
      <w:r w:rsidRPr="00E879A0">
        <w:t xml:space="preserve">The SRSG states that UNMIK international police officers had to adjust to conducting </w:t>
      </w:r>
      <w:r w:rsidRPr="00E879A0">
        <w:rPr>
          <w:bCs/>
          <w:lang w:val="en-GB"/>
        </w:rPr>
        <w:t>investigations</w:t>
      </w:r>
      <w:r w:rsidRPr="00E879A0">
        <w:t xml:space="preserve"> in</w:t>
      </w:r>
      <w:r w:rsidR="00D142E8" w:rsidRPr="00E879A0">
        <w:t xml:space="preserve"> a foreign territory and cultures</w:t>
      </w:r>
      <w:r w:rsidRPr="00E879A0">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E879A0">
        <w:t>[</w:t>
      </w:r>
      <w:r w:rsidRPr="00E879A0">
        <w:t>s</w:t>
      </w:r>
      <w:r w:rsidR="002948A6" w:rsidRPr="00E879A0">
        <w:t>]</w:t>
      </w:r>
      <w:proofErr w:type="spellStart"/>
      <w:r w:rsidRPr="00E879A0">
        <w:t>uch</w:t>
      </w:r>
      <w:proofErr w:type="spellEnd"/>
      <w:r w:rsidRPr="00E879A0">
        <w:t xml:space="preserve"> constraints inhibited the ability of</w:t>
      </w:r>
      <w:r w:rsidR="002948A6" w:rsidRPr="00E879A0">
        <w:t xml:space="preserve"> an institution such as</w:t>
      </w:r>
      <w:r w:rsidRPr="00E879A0">
        <w:t xml:space="preserve"> UNMIK Police</w:t>
      </w:r>
      <w:r w:rsidR="00A437DF" w:rsidRPr="00E879A0">
        <w:t xml:space="preserve"> to conduct</w:t>
      </w:r>
      <w:r w:rsidR="002948A6" w:rsidRPr="00E879A0">
        <w:t xml:space="preserve"> all</w:t>
      </w:r>
      <w:r w:rsidRPr="00E879A0">
        <w:t xml:space="preserve"> investigation</w:t>
      </w:r>
      <w:r w:rsidR="002948A6" w:rsidRPr="00E879A0">
        <w:t>s in a manner […] that</w:t>
      </w:r>
      <w:r w:rsidRPr="00E879A0">
        <w:t xml:space="preserve"> may be demonstrated, or</w:t>
      </w:r>
      <w:r w:rsidR="002948A6" w:rsidRPr="00E879A0">
        <w:t xml:space="preserve"> at least</w:t>
      </w:r>
      <w:r w:rsidRPr="00E879A0">
        <w:t xml:space="preserve"> expected,</w:t>
      </w:r>
      <w:r w:rsidR="00A62C6D" w:rsidRPr="00E879A0">
        <w:t xml:space="preserve"> in</w:t>
      </w:r>
      <w:r w:rsidR="002948A6" w:rsidRPr="00E879A0">
        <w:t xml:space="preserve"> other</w:t>
      </w:r>
      <w:r w:rsidRPr="00E879A0">
        <w:t xml:space="preserve"> States with</w:t>
      </w:r>
      <w:r w:rsidR="002948A6" w:rsidRPr="00E879A0">
        <w:t xml:space="preserve"> more</w:t>
      </w:r>
      <w:r w:rsidRPr="00E879A0">
        <w:t xml:space="preserve"> established</w:t>
      </w:r>
      <w:r w:rsidR="00A437DF" w:rsidRPr="00E879A0">
        <w:t xml:space="preserve"> </w:t>
      </w:r>
      <w:r w:rsidRPr="00134D73">
        <w:t>institutions</w:t>
      </w:r>
      <w:r w:rsidR="00A437DF" w:rsidRPr="00134D73">
        <w:t xml:space="preserve"> and without the surge in cases of this nature</w:t>
      </w:r>
      <w:r w:rsidRPr="00134D73">
        <w:t xml:space="preserve"> </w:t>
      </w:r>
      <w:r w:rsidR="00A437DF" w:rsidRPr="00134D73">
        <w:t>associated with a post-conflict situation</w:t>
      </w:r>
      <w:r w:rsidRPr="00134D73">
        <w:t>.”</w:t>
      </w:r>
      <w:bookmarkStart w:id="42" w:name="_Ref387249369"/>
      <w:bookmarkStart w:id="43" w:name="_Ref373946471"/>
      <w:bookmarkStart w:id="44" w:name="_Ref366698716"/>
    </w:p>
    <w:p w:rsidR="003E3F85" w:rsidRPr="00134D73" w:rsidRDefault="003E3F85" w:rsidP="003E3F85">
      <w:pPr>
        <w:tabs>
          <w:tab w:val="left" w:pos="709"/>
        </w:tabs>
        <w:suppressAutoHyphens/>
        <w:autoSpaceDE w:val="0"/>
        <w:ind w:left="360"/>
        <w:jc w:val="both"/>
        <w:rPr>
          <w:lang w:eastAsia="nl-NL"/>
        </w:rPr>
      </w:pPr>
    </w:p>
    <w:p w:rsidR="00094DD4" w:rsidRPr="00134D73" w:rsidRDefault="003E3F85" w:rsidP="00AD7F08">
      <w:pPr>
        <w:numPr>
          <w:ilvl w:val="0"/>
          <w:numId w:val="2"/>
        </w:numPr>
        <w:tabs>
          <w:tab w:val="left" w:pos="709"/>
        </w:tabs>
        <w:suppressAutoHyphens/>
        <w:autoSpaceDE w:val="0"/>
        <w:jc w:val="both"/>
      </w:pPr>
      <w:bookmarkStart w:id="45" w:name="_Ref419368871"/>
      <w:bookmarkStart w:id="46" w:name="_Ref416957328"/>
      <w:bookmarkStart w:id="47" w:name="_Ref414014986"/>
      <w:bookmarkStart w:id="48" w:name="_Ref400716090"/>
      <w:bookmarkStart w:id="49" w:name="_Ref397946236"/>
      <w:bookmarkStart w:id="50" w:name="_Ref390942754"/>
      <w:bookmarkStart w:id="51" w:name="_Ref401246390"/>
      <w:r w:rsidRPr="00134D73">
        <w:rPr>
          <w:bCs/>
          <w:lang w:val="en-GB"/>
        </w:rPr>
        <w:t>With</w:t>
      </w:r>
      <w:r w:rsidRPr="00134D73">
        <w:t xml:space="preserve"> </w:t>
      </w:r>
      <w:r w:rsidR="00A62C6D" w:rsidRPr="00134D73">
        <w:t>regard to this particular case</w:t>
      </w:r>
      <w:r w:rsidRPr="00134D73">
        <w:t xml:space="preserve">, the SRSG </w:t>
      </w:r>
      <w:r w:rsidR="00622236" w:rsidRPr="00134D73">
        <w:t>asserts that “</w:t>
      </w:r>
      <w:r w:rsidR="00094DD4" w:rsidRPr="00134D73">
        <w:t xml:space="preserve">[a]ccording to the available documents, </w:t>
      </w:r>
      <w:r w:rsidR="00DB7A1E" w:rsidRPr="00134D73">
        <w:t>u</w:t>
      </w:r>
      <w:r w:rsidR="00094DD4" w:rsidRPr="00134D73">
        <w:t>pon receiving the information about the disappearance of the Complainant’s relatives, on 2 May 2002, MPU started to collect ante mortem information on their disappearances. It is documented that between Mon</w:t>
      </w:r>
      <w:r w:rsidR="00DB7A1E" w:rsidRPr="00134D73">
        <w:t>d</w:t>
      </w:r>
      <w:r w:rsidR="00094DD4" w:rsidRPr="00134D73">
        <w:t>ay 30 September and Wednesday</w:t>
      </w:r>
      <w:r w:rsidR="00CE74BC" w:rsidRPr="00134D73">
        <w:t xml:space="preserve"> 2 October 2002 in the presence</w:t>
      </w:r>
      <w:r w:rsidR="00094DD4" w:rsidRPr="00134D73">
        <w:t xml:space="preserve"> of OMPF personnel 28 bodies were exhumed from different grave sites in </w:t>
      </w:r>
      <w:proofErr w:type="spellStart"/>
      <w:r w:rsidR="004162BE" w:rsidRPr="00134D73">
        <w:rPr>
          <w:lang w:val="en-GB"/>
        </w:rPr>
        <w:t>Gjakovё</w:t>
      </w:r>
      <w:proofErr w:type="spellEnd"/>
      <w:r w:rsidR="004162BE" w:rsidRPr="00134D73">
        <w:rPr>
          <w:lang w:val="en-GB"/>
        </w:rPr>
        <w:t>/</w:t>
      </w:r>
      <w:proofErr w:type="spellStart"/>
      <w:r w:rsidR="004162BE" w:rsidRPr="00134D73">
        <w:rPr>
          <w:lang w:val="en-GB"/>
        </w:rPr>
        <w:t>Ðakovica</w:t>
      </w:r>
      <w:proofErr w:type="spellEnd"/>
      <w:r w:rsidR="004162BE" w:rsidRPr="00134D73">
        <w:t xml:space="preserve"> </w:t>
      </w:r>
      <w:r w:rsidR="00094DD4" w:rsidRPr="00134D73">
        <w:t xml:space="preserve">and transported to Rahovec/Orahovac mortuary. Comparing the Anti-Mortem and Post Mortem data the MPU investigative officer in his </w:t>
      </w:r>
      <w:r w:rsidR="0076548B" w:rsidRPr="00134D73">
        <w:t>concluding remarks stated that ‘</w:t>
      </w:r>
      <w:r w:rsidR="00094DD4" w:rsidRPr="00134D73">
        <w:t>the amount of identification information available is not sufficient to confirm the identification by traditional methods however</w:t>
      </w:r>
      <w:r w:rsidR="00DB7A1E" w:rsidRPr="00134D73">
        <w:t xml:space="preserve"> </w:t>
      </w:r>
      <w:r w:rsidR="00094DD4" w:rsidRPr="00134D73">
        <w:t>due to artifacts found with the body suggest that they may belong to a person with a similar medical history to the missing person.</w:t>
      </w:r>
      <w:r w:rsidR="00DB7A1E" w:rsidRPr="00134D73">
        <w:t xml:space="preserve"> Therefore suggested DNA testing </w:t>
      </w:r>
      <w:proofErr w:type="gramStart"/>
      <w:r w:rsidR="00DB7A1E" w:rsidRPr="00134D73">
        <w:t>be</w:t>
      </w:r>
      <w:proofErr w:type="gramEnd"/>
      <w:r w:rsidR="00DB7A1E" w:rsidRPr="00134D73">
        <w:t xml:space="preserve"> conducted.</w:t>
      </w:r>
      <w:r w:rsidR="0076548B" w:rsidRPr="00134D73">
        <w:t>’</w:t>
      </w:r>
      <w:r w:rsidR="00DB7A1E" w:rsidRPr="00134D73">
        <w:t xml:space="preserve"> On 15 March 2003, blood sample for DNA comparison was sent to Tuzla, Bosnia Herzegovina and WCU, Anti Mortem investigation report complied (</w:t>
      </w:r>
      <w:r w:rsidR="00DB7A1E" w:rsidRPr="00134D73">
        <w:rPr>
          <w:i/>
        </w:rPr>
        <w:t>sic</w:t>
      </w:r>
      <w:r w:rsidR="00DB7A1E" w:rsidRPr="00134D73">
        <w:t>) on 29 January 2005 states that the Unit had not received the DNA results yet. Therefore the whereabouts of the mortal remains of the Complainant’s relatives cannot be established.”</w:t>
      </w:r>
      <w:bookmarkEnd w:id="45"/>
      <w:r w:rsidR="00854D52" w:rsidRPr="00134D73">
        <w:t xml:space="preserve"> </w:t>
      </w:r>
    </w:p>
    <w:p w:rsidR="00094DD4" w:rsidRPr="00134D73" w:rsidRDefault="00094DD4" w:rsidP="00094DD4">
      <w:pPr>
        <w:pStyle w:val="ListParagraph"/>
      </w:pPr>
    </w:p>
    <w:p w:rsidR="00094DD4" w:rsidRPr="00134D73" w:rsidRDefault="00896B22" w:rsidP="00AD7F08">
      <w:pPr>
        <w:numPr>
          <w:ilvl w:val="0"/>
          <w:numId w:val="2"/>
        </w:numPr>
        <w:tabs>
          <w:tab w:val="left" w:pos="709"/>
        </w:tabs>
        <w:suppressAutoHyphens/>
        <w:autoSpaceDE w:val="0"/>
        <w:jc w:val="both"/>
      </w:pPr>
      <w:r w:rsidRPr="00134D73">
        <w:t xml:space="preserve">The SRSG adds that the WCU </w:t>
      </w:r>
      <w:proofErr w:type="gramStart"/>
      <w:r w:rsidRPr="00134D73">
        <w:t>report,</w:t>
      </w:r>
      <w:proofErr w:type="gramEnd"/>
      <w:r w:rsidRPr="00134D73">
        <w:t xml:space="preserve"> dated 29 January 2005 states in its conclusion that “[w]e should wait for results of DNA comparison. This case should remain open inactive within the WCU.”</w:t>
      </w:r>
    </w:p>
    <w:bookmarkEnd w:id="46"/>
    <w:bookmarkEnd w:id="42"/>
    <w:bookmarkEnd w:id="43"/>
    <w:bookmarkEnd w:id="47"/>
    <w:bookmarkEnd w:id="48"/>
    <w:bookmarkEnd w:id="49"/>
    <w:bookmarkEnd w:id="50"/>
    <w:bookmarkEnd w:id="51"/>
    <w:p w:rsidR="00E92DED" w:rsidRPr="00134D73" w:rsidRDefault="00E92DED" w:rsidP="009A6E2B">
      <w:pPr>
        <w:tabs>
          <w:tab w:val="left" w:pos="709"/>
        </w:tabs>
        <w:suppressAutoHyphens/>
        <w:autoSpaceDE w:val="0"/>
        <w:ind w:left="360"/>
        <w:jc w:val="both"/>
      </w:pPr>
    </w:p>
    <w:p w:rsidR="00896B22" w:rsidRPr="00134D73" w:rsidRDefault="00711F6E" w:rsidP="00AD7F08">
      <w:pPr>
        <w:numPr>
          <w:ilvl w:val="0"/>
          <w:numId w:val="2"/>
        </w:numPr>
        <w:tabs>
          <w:tab w:val="left" w:pos="709"/>
        </w:tabs>
        <w:suppressAutoHyphens/>
        <w:autoSpaceDE w:val="0"/>
        <w:jc w:val="both"/>
        <w:rPr>
          <w:bCs/>
          <w:lang w:val="en-GB"/>
        </w:rPr>
      </w:pPr>
      <w:bookmarkStart w:id="52" w:name="_Ref419388143"/>
      <w:bookmarkStart w:id="53" w:name="_Ref416955375"/>
      <w:bookmarkStart w:id="54" w:name="_Ref414013847"/>
      <w:bookmarkStart w:id="55" w:name="_Ref414548989"/>
      <w:bookmarkStart w:id="56" w:name="_Ref409018586"/>
      <w:bookmarkStart w:id="57" w:name="_Ref411961384"/>
      <w:bookmarkStart w:id="58" w:name="_Ref412035115"/>
      <w:r w:rsidRPr="00134D73">
        <w:t>With respect to the investigation aimed at identifying and bringing to justice the perpetrators who are responsi</w:t>
      </w:r>
      <w:r w:rsidR="00AD7F08" w:rsidRPr="00134D73">
        <w:t>ble for the</w:t>
      </w:r>
      <w:r w:rsidR="00E92DED" w:rsidRPr="00134D73">
        <w:t xml:space="preserve"> </w:t>
      </w:r>
      <w:r w:rsidR="00896B22" w:rsidRPr="00134D73">
        <w:rPr>
          <w:lang w:val="en-GB"/>
        </w:rPr>
        <w:t xml:space="preserve">disappearance of Mrs </w:t>
      </w:r>
      <w:proofErr w:type="spellStart"/>
      <w:r w:rsidR="00896B22" w:rsidRPr="00134D73">
        <w:rPr>
          <w:lang w:val="en-GB"/>
        </w:rPr>
        <w:t>Slavka</w:t>
      </w:r>
      <w:proofErr w:type="spellEnd"/>
      <w:r w:rsidR="00896B22" w:rsidRPr="00134D73">
        <w:rPr>
          <w:lang w:val="en-GB"/>
        </w:rPr>
        <w:t xml:space="preserve"> </w:t>
      </w:r>
      <w:proofErr w:type="spellStart"/>
      <w:r w:rsidR="00896B22" w:rsidRPr="00134D73">
        <w:rPr>
          <w:lang w:val="en-GB"/>
        </w:rPr>
        <w:t>Pantović</w:t>
      </w:r>
      <w:proofErr w:type="spellEnd"/>
      <w:r w:rsidR="00896B22" w:rsidRPr="00134D73">
        <w:rPr>
          <w:lang w:val="en-GB"/>
        </w:rPr>
        <w:t xml:space="preserve">, Mr </w:t>
      </w:r>
      <w:proofErr w:type="spellStart"/>
      <w:r w:rsidR="00896B22" w:rsidRPr="00134D73">
        <w:rPr>
          <w:lang w:val="en-GB"/>
        </w:rPr>
        <w:t>Milić</w:t>
      </w:r>
      <w:proofErr w:type="spellEnd"/>
      <w:r w:rsidR="00896B22" w:rsidRPr="00134D73">
        <w:rPr>
          <w:lang w:val="en-GB"/>
        </w:rPr>
        <w:t xml:space="preserve"> </w:t>
      </w:r>
      <w:proofErr w:type="spellStart"/>
      <w:r w:rsidR="00896B22" w:rsidRPr="00134D73">
        <w:rPr>
          <w:lang w:val="en-GB"/>
        </w:rPr>
        <w:t>Pantović</w:t>
      </w:r>
      <w:proofErr w:type="spellEnd"/>
      <w:r w:rsidR="00896B22" w:rsidRPr="00134D73">
        <w:rPr>
          <w:lang w:val="en-GB"/>
        </w:rPr>
        <w:t xml:space="preserve"> and Mrs </w:t>
      </w:r>
      <w:proofErr w:type="spellStart"/>
      <w:r w:rsidR="00896B22" w:rsidRPr="00134D73">
        <w:rPr>
          <w:lang w:val="en-GB"/>
        </w:rPr>
        <w:t>Mileva</w:t>
      </w:r>
      <w:proofErr w:type="spellEnd"/>
      <w:r w:rsidR="00896B22" w:rsidRPr="00134D73">
        <w:rPr>
          <w:lang w:val="en-GB"/>
        </w:rPr>
        <w:t xml:space="preserve"> </w:t>
      </w:r>
      <w:proofErr w:type="spellStart"/>
      <w:r w:rsidR="00896B22" w:rsidRPr="00134D73">
        <w:rPr>
          <w:lang w:val="en-GB"/>
        </w:rPr>
        <w:t>Pantović</w:t>
      </w:r>
      <w:proofErr w:type="spellEnd"/>
      <w:r w:rsidRPr="00134D73">
        <w:t xml:space="preserve">, the SRSG argues that </w:t>
      </w:r>
      <w:r w:rsidR="00896B22" w:rsidRPr="00134D73">
        <w:t>“</w:t>
      </w:r>
      <w:r w:rsidR="00A3533C" w:rsidRPr="00134D73">
        <w:t>i</w:t>
      </w:r>
      <w:r w:rsidR="00896B22" w:rsidRPr="00134D73">
        <w:t>t can be asserted that lack of information in the instant case posed a real hurdle to the conduct of any investigation by UNMIK. The lack of witnesses or suspects impede</w:t>
      </w:r>
      <w:r w:rsidR="00A3533C" w:rsidRPr="00134D73">
        <w:t>d</w:t>
      </w:r>
      <w:r w:rsidR="00896B22" w:rsidRPr="00134D73">
        <w:t xml:space="preserve"> the identification of possible perpetrators to be brought to justice</w:t>
      </w:r>
      <w:r w:rsidR="00854D52" w:rsidRPr="00134D73">
        <w:t>.”</w:t>
      </w:r>
      <w:bookmarkEnd w:id="52"/>
    </w:p>
    <w:p w:rsidR="00896B22" w:rsidRPr="00134D73" w:rsidRDefault="00896B22" w:rsidP="00896B22">
      <w:pPr>
        <w:pStyle w:val="ListParagraph"/>
      </w:pPr>
    </w:p>
    <w:p w:rsidR="009A6E2B" w:rsidRPr="00134D73" w:rsidRDefault="009A6E2B" w:rsidP="00AD7F08">
      <w:pPr>
        <w:numPr>
          <w:ilvl w:val="0"/>
          <w:numId w:val="2"/>
        </w:numPr>
        <w:tabs>
          <w:tab w:val="left" w:pos="709"/>
        </w:tabs>
        <w:suppressAutoHyphens/>
        <w:autoSpaceDE w:val="0"/>
        <w:jc w:val="both"/>
        <w:rPr>
          <w:bCs/>
          <w:lang w:val="en-GB"/>
        </w:rPr>
      </w:pPr>
      <w:bookmarkStart w:id="59" w:name="_Ref416962019"/>
      <w:bookmarkEnd w:id="53"/>
      <w:r w:rsidRPr="00134D73">
        <w:t>The SRSG also states that “</w:t>
      </w:r>
      <w:r w:rsidR="00896B22" w:rsidRPr="00134D73">
        <w:t xml:space="preserve">it is evident that UNMIK Police did open and pursue an investigation into the whereabouts of the Complainant’s relatives. Investigation leads were </w:t>
      </w:r>
      <w:r w:rsidR="00896B22" w:rsidRPr="00134D73">
        <w:lastRenderedPageBreak/>
        <w:t>follow</w:t>
      </w:r>
      <w:r w:rsidR="00A3533C" w:rsidRPr="00134D73">
        <w:t>ed, b</w:t>
      </w:r>
      <w:r w:rsidR="00896B22" w:rsidRPr="00134D73">
        <w:t>ut this did not culminate in the location and identification of the MPs mortal remains or the identification of perpetrators.</w:t>
      </w:r>
      <w:r w:rsidRPr="00134D73">
        <w:t>”</w:t>
      </w:r>
      <w:bookmarkEnd w:id="59"/>
    </w:p>
    <w:p w:rsidR="009A6E2B" w:rsidRPr="00134D73" w:rsidRDefault="009A6E2B" w:rsidP="009A6E2B">
      <w:pPr>
        <w:pStyle w:val="ListParagraph"/>
      </w:pPr>
    </w:p>
    <w:p w:rsidR="00E92DED" w:rsidRPr="00134D73" w:rsidRDefault="009A6E2B" w:rsidP="00E92DED">
      <w:pPr>
        <w:numPr>
          <w:ilvl w:val="0"/>
          <w:numId w:val="2"/>
        </w:numPr>
        <w:tabs>
          <w:tab w:val="left" w:pos="709"/>
        </w:tabs>
        <w:suppressAutoHyphens/>
        <w:autoSpaceDE w:val="0"/>
        <w:jc w:val="both"/>
        <w:rPr>
          <w:bCs/>
          <w:lang w:val="en-GB"/>
        </w:rPr>
      </w:pPr>
      <w:r w:rsidRPr="00134D73">
        <w:t xml:space="preserve">The SRSG </w:t>
      </w:r>
      <w:r w:rsidR="00CE74BC" w:rsidRPr="00134D73">
        <w:t>states</w:t>
      </w:r>
      <w:r w:rsidR="00A3533C" w:rsidRPr="00134D73">
        <w:t xml:space="preserve"> </w:t>
      </w:r>
      <w:r w:rsidRPr="00134D73">
        <w:t>that “it is evident that UNMIK Police did conduct investigative efforts in accordance with the procedural requirements of Article 2</w:t>
      </w:r>
      <w:r w:rsidR="00A3533C" w:rsidRPr="00134D73">
        <w:t xml:space="preserve"> of the</w:t>
      </w:r>
      <w:r w:rsidRPr="00134D73">
        <w:t xml:space="preserve"> ECHR, aiming at bringing the perpetrators to justice.” </w:t>
      </w:r>
      <w:bookmarkEnd w:id="54"/>
      <w:bookmarkEnd w:id="55"/>
      <w:bookmarkEnd w:id="56"/>
      <w:bookmarkEnd w:id="57"/>
      <w:bookmarkEnd w:id="58"/>
    </w:p>
    <w:p w:rsidR="009A6E2B" w:rsidRPr="00134D73" w:rsidRDefault="009A6E2B" w:rsidP="009A6E2B">
      <w:pPr>
        <w:tabs>
          <w:tab w:val="left" w:pos="709"/>
        </w:tabs>
        <w:suppressAutoHyphens/>
        <w:autoSpaceDE w:val="0"/>
        <w:jc w:val="both"/>
        <w:rPr>
          <w:bCs/>
          <w:lang w:val="en-GB"/>
        </w:rPr>
      </w:pPr>
    </w:p>
    <w:p w:rsidR="00711F6E" w:rsidRPr="00134D73" w:rsidRDefault="003E3F85" w:rsidP="00711F6E">
      <w:pPr>
        <w:numPr>
          <w:ilvl w:val="0"/>
          <w:numId w:val="2"/>
        </w:numPr>
        <w:tabs>
          <w:tab w:val="left" w:pos="709"/>
        </w:tabs>
        <w:suppressAutoHyphens/>
        <w:autoSpaceDE w:val="0"/>
        <w:jc w:val="both"/>
        <w:rPr>
          <w:lang w:eastAsia="nl-NL"/>
        </w:rPr>
      </w:pPr>
      <w:bookmarkStart w:id="60" w:name="_Ref412035125"/>
      <w:bookmarkStart w:id="61" w:name="_Ref409018550"/>
      <w:bookmarkStart w:id="62" w:name="_Ref367285537"/>
      <w:bookmarkStart w:id="63" w:name="_Ref368319301"/>
      <w:bookmarkEnd w:id="44"/>
      <w:r w:rsidRPr="00134D73">
        <w:rPr>
          <w:lang w:eastAsia="nl-NL"/>
        </w:rPr>
        <w:t xml:space="preserve">The SRSG concludes that </w:t>
      </w:r>
      <w:r w:rsidR="00243A63" w:rsidRPr="00134D73">
        <w:rPr>
          <w:lang w:eastAsia="nl-NL"/>
        </w:rPr>
        <w:t xml:space="preserve">with regard to the complaint, </w:t>
      </w:r>
      <w:r w:rsidR="00AD7F08" w:rsidRPr="00134D73">
        <w:rPr>
          <w:lang w:eastAsia="nl-NL"/>
        </w:rPr>
        <w:t>there has not bee</w:t>
      </w:r>
      <w:r w:rsidR="00DB4BC9" w:rsidRPr="00134D73">
        <w:rPr>
          <w:lang w:eastAsia="nl-NL"/>
        </w:rPr>
        <w:t>n a violation of Article 2</w:t>
      </w:r>
      <w:r w:rsidR="00445981" w:rsidRPr="00134D73">
        <w:rPr>
          <w:lang w:eastAsia="nl-NL"/>
        </w:rPr>
        <w:t xml:space="preserve"> of the </w:t>
      </w:r>
      <w:r w:rsidR="00243A63" w:rsidRPr="00134D73">
        <w:rPr>
          <w:lang w:eastAsia="nl-NL"/>
        </w:rPr>
        <w:t>ECHR.</w:t>
      </w:r>
      <w:bookmarkEnd w:id="60"/>
      <w:r w:rsidR="004F45E5" w:rsidRPr="00134D73">
        <w:rPr>
          <w:lang w:eastAsia="nl-NL"/>
        </w:rPr>
        <w:t xml:space="preserve"> </w:t>
      </w:r>
      <w:bookmarkEnd w:id="61"/>
    </w:p>
    <w:p w:rsidR="00711F6E" w:rsidRPr="00134D73" w:rsidRDefault="00711F6E" w:rsidP="00711F6E">
      <w:pPr>
        <w:tabs>
          <w:tab w:val="left" w:pos="709"/>
        </w:tabs>
        <w:suppressAutoHyphens/>
        <w:autoSpaceDE w:val="0"/>
        <w:jc w:val="both"/>
        <w:rPr>
          <w:lang w:eastAsia="nl-NL"/>
        </w:rPr>
      </w:pPr>
    </w:p>
    <w:bookmarkEnd w:id="62"/>
    <w:bookmarkEnd w:id="63"/>
    <w:p w:rsidR="003E3F85" w:rsidRPr="00134D73" w:rsidRDefault="003E3F85" w:rsidP="003E3F85">
      <w:pPr>
        <w:pStyle w:val="ListParagraph"/>
        <w:numPr>
          <w:ilvl w:val="1"/>
          <w:numId w:val="1"/>
        </w:numPr>
        <w:tabs>
          <w:tab w:val="clear" w:pos="360"/>
          <w:tab w:val="left" w:pos="357"/>
        </w:tabs>
        <w:autoSpaceDE w:val="0"/>
        <w:contextualSpacing/>
        <w:jc w:val="both"/>
        <w:rPr>
          <w:b/>
          <w:lang w:val="en-GB"/>
        </w:rPr>
      </w:pPr>
      <w:r w:rsidRPr="00134D73">
        <w:rPr>
          <w:b/>
          <w:lang w:val="en-GB"/>
        </w:rPr>
        <w:t xml:space="preserve">The </w:t>
      </w:r>
      <w:r w:rsidRPr="00134D73">
        <w:rPr>
          <w:b/>
          <w:bCs/>
          <w:lang w:val="en-GB"/>
        </w:rPr>
        <w:t>Panel’s</w:t>
      </w:r>
      <w:r w:rsidRPr="00134D73">
        <w:rPr>
          <w:b/>
          <w:lang w:val="en-GB"/>
        </w:rPr>
        <w:t xml:space="preserve"> assessment</w:t>
      </w:r>
    </w:p>
    <w:p w:rsidR="003E3F85" w:rsidRPr="00134D73" w:rsidRDefault="003E3F85" w:rsidP="003E3F85">
      <w:pPr>
        <w:jc w:val="both"/>
        <w:rPr>
          <w:lang w:val="en-GB"/>
        </w:rPr>
      </w:pPr>
    </w:p>
    <w:p w:rsidR="003E3F85" w:rsidRPr="00134D73" w:rsidRDefault="003E3F85" w:rsidP="003E3F85">
      <w:pPr>
        <w:numPr>
          <w:ilvl w:val="0"/>
          <w:numId w:val="2"/>
        </w:numPr>
        <w:tabs>
          <w:tab w:val="left" w:pos="709"/>
        </w:tabs>
        <w:suppressAutoHyphens/>
        <w:autoSpaceDE w:val="0"/>
        <w:jc w:val="both"/>
        <w:rPr>
          <w:lang w:val="en-GB"/>
        </w:rPr>
      </w:pPr>
      <w:r w:rsidRPr="00134D73">
        <w:rPr>
          <w:lang w:val="en-GB"/>
        </w:rPr>
        <w:t>The</w:t>
      </w:r>
      <w:r w:rsidRPr="00134D73">
        <w:rPr>
          <w:bCs/>
          <w:lang w:val="en-GB"/>
        </w:rPr>
        <w:t xml:space="preserve"> Panel considers that the complainant invokes a violation of the procedural obligation </w:t>
      </w:r>
      <w:r w:rsidRPr="00134D73">
        <w:rPr>
          <w:lang w:val="en-GB"/>
        </w:rPr>
        <w:t>stemming</w:t>
      </w:r>
      <w:r w:rsidRPr="00134D73">
        <w:rPr>
          <w:bCs/>
          <w:lang w:val="en-GB"/>
        </w:rPr>
        <w:t xml:space="preserve"> from the right to life, guaranteed by Article 2 of the European Convention on Human Rights (ECHR) in that UNMIK did not conduct an effectiv</w:t>
      </w:r>
      <w:r w:rsidR="00622236" w:rsidRPr="00134D73">
        <w:rPr>
          <w:bCs/>
          <w:lang w:val="en-GB"/>
        </w:rPr>
        <w:t xml:space="preserve">e investigation into the </w:t>
      </w:r>
      <w:r w:rsidR="00833CCC" w:rsidRPr="00134D73">
        <w:rPr>
          <w:lang w:val="en-GB"/>
        </w:rPr>
        <w:t xml:space="preserve">disappearance of Mrs </w:t>
      </w:r>
      <w:proofErr w:type="spellStart"/>
      <w:r w:rsidR="00833CCC" w:rsidRPr="00134D73">
        <w:rPr>
          <w:lang w:val="en-GB"/>
        </w:rPr>
        <w:t>Slavka</w:t>
      </w:r>
      <w:proofErr w:type="spellEnd"/>
      <w:r w:rsidR="00833CCC" w:rsidRPr="00134D73">
        <w:rPr>
          <w:lang w:val="en-GB"/>
        </w:rPr>
        <w:t xml:space="preserve"> </w:t>
      </w:r>
      <w:proofErr w:type="spellStart"/>
      <w:r w:rsidR="00833CCC" w:rsidRPr="00134D73">
        <w:rPr>
          <w:lang w:val="en-GB"/>
        </w:rPr>
        <w:t>Pantović</w:t>
      </w:r>
      <w:proofErr w:type="spellEnd"/>
      <w:r w:rsidR="00833CCC" w:rsidRPr="00134D73">
        <w:rPr>
          <w:lang w:val="en-GB"/>
        </w:rPr>
        <w:t xml:space="preserve">, Mr </w:t>
      </w:r>
      <w:proofErr w:type="spellStart"/>
      <w:r w:rsidR="00833CCC" w:rsidRPr="00134D73">
        <w:rPr>
          <w:lang w:val="en-GB"/>
        </w:rPr>
        <w:t>Milić</w:t>
      </w:r>
      <w:proofErr w:type="spellEnd"/>
      <w:r w:rsidR="00833CCC" w:rsidRPr="00134D73">
        <w:rPr>
          <w:lang w:val="en-GB"/>
        </w:rPr>
        <w:t xml:space="preserve"> </w:t>
      </w:r>
      <w:proofErr w:type="spellStart"/>
      <w:r w:rsidR="00833CCC" w:rsidRPr="00134D73">
        <w:rPr>
          <w:lang w:val="en-GB"/>
        </w:rPr>
        <w:t>Pantović</w:t>
      </w:r>
      <w:proofErr w:type="spellEnd"/>
      <w:r w:rsidR="00833CCC" w:rsidRPr="00134D73">
        <w:rPr>
          <w:lang w:val="en-GB"/>
        </w:rPr>
        <w:t xml:space="preserve"> and Mrs </w:t>
      </w:r>
      <w:proofErr w:type="spellStart"/>
      <w:r w:rsidR="00833CCC" w:rsidRPr="00134D73">
        <w:rPr>
          <w:lang w:val="en-GB"/>
        </w:rPr>
        <w:t>Mileva</w:t>
      </w:r>
      <w:proofErr w:type="spellEnd"/>
      <w:r w:rsidR="00833CCC" w:rsidRPr="00134D73">
        <w:rPr>
          <w:lang w:val="en-GB"/>
        </w:rPr>
        <w:t xml:space="preserve"> </w:t>
      </w:r>
      <w:proofErr w:type="spellStart"/>
      <w:r w:rsidR="00833CCC" w:rsidRPr="00134D73">
        <w:rPr>
          <w:lang w:val="en-GB"/>
        </w:rPr>
        <w:t>Pantović</w:t>
      </w:r>
      <w:proofErr w:type="spellEnd"/>
      <w:r w:rsidRPr="00134D73">
        <w:rPr>
          <w:lang w:val="en-GB"/>
        </w:rPr>
        <w:t>.</w:t>
      </w:r>
    </w:p>
    <w:p w:rsidR="003E3F85" w:rsidRPr="00134D73" w:rsidRDefault="003E3F85" w:rsidP="003E3F85">
      <w:pPr>
        <w:pStyle w:val="ListParagraph"/>
        <w:autoSpaceDE w:val="0"/>
        <w:ind w:left="360"/>
        <w:jc w:val="both"/>
        <w:rPr>
          <w:lang w:val="en-GB"/>
        </w:rPr>
      </w:pPr>
    </w:p>
    <w:p w:rsidR="003E3F85" w:rsidRPr="00134D73" w:rsidRDefault="003E3F85" w:rsidP="003E3F85">
      <w:pPr>
        <w:pStyle w:val="ListParagraph"/>
        <w:numPr>
          <w:ilvl w:val="0"/>
          <w:numId w:val="7"/>
        </w:numPr>
        <w:contextualSpacing/>
        <w:jc w:val="both"/>
        <w:rPr>
          <w:i/>
          <w:lang w:val="en-GB"/>
        </w:rPr>
      </w:pPr>
      <w:r w:rsidRPr="00134D73">
        <w:rPr>
          <w:i/>
          <w:lang w:val="en-GB"/>
        </w:rPr>
        <w:t>Submission of relevant files</w:t>
      </w:r>
    </w:p>
    <w:p w:rsidR="003E3F85" w:rsidRPr="00134D73" w:rsidRDefault="003E3F85" w:rsidP="003E3F85">
      <w:pPr>
        <w:pStyle w:val="ListParagraph"/>
        <w:autoSpaceDE w:val="0"/>
        <w:ind w:left="450"/>
        <w:jc w:val="both"/>
      </w:pPr>
      <w:bookmarkStart w:id="64" w:name="_Ref354590617"/>
    </w:p>
    <w:p w:rsidR="00E92DED" w:rsidRPr="00134D73" w:rsidRDefault="003E3F85" w:rsidP="00E92DED">
      <w:pPr>
        <w:numPr>
          <w:ilvl w:val="0"/>
          <w:numId w:val="2"/>
        </w:numPr>
        <w:tabs>
          <w:tab w:val="left" w:pos="709"/>
        </w:tabs>
        <w:suppressAutoHyphens/>
        <w:autoSpaceDE w:val="0"/>
        <w:jc w:val="both"/>
      </w:pPr>
      <w:r w:rsidRPr="00134D73">
        <w:rPr>
          <w:lang w:val="en-GB"/>
        </w:rPr>
        <w:t xml:space="preserve">At the Panel’s request, </w:t>
      </w:r>
      <w:r w:rsidR="00E92DED" w:rsidRPr="00134D73">
        <w:rPr>
          <w:lang w:val="en-GB"/>
        </w:rPr>
        <w:t xml:space="preserve">on </w:t>
      </w:r>
      <w:r w:rsidR="00833CCC" w:rsidRPr="00134D73">
        <w:rPr>
          <w:lang w:val="en-GB"/>
        </w:rPr>
        <w:t xml:space="preserve">12 April </w:t>
      </w:r>
      <w:r w:rsidR="00E92DED" w:rsidRPr="00134D73">
        <w:rPr>
          <w:lang w:val="en-GB"/>
        </w:rPr>
        <w:t xml:space="preserve">2013, </w:t>
      </w:r>
      <w:r w:rsidR="00AD7F08" w:rsidRPr="00134D73">
        <w:rPr>
          <w:lang w:val="en-GB"/>
        </w:rPr>
        <w:t xml:space="preserve">the </w:t>
      </w:r>
      <w:r w:rsidR="00AD7F08" w:rsidRPr="00134D73">
        <w:rPr>
          <w:bCs/>
          <w:lang w:val="en-GB"/>
        </w:rPr>
        <w:t>SRSG</w:t>
      </w:r>
      <w:r w:rsidR="00AD7F08" w:rsidRPr="00134D73">
        <w:rPr>
          <w:lang w:val="en-GB"/>
        </w:rPr>
        <w:t xml:space="preserve"> provided copies of the documents </w:t>
      </w:r>
      <w:r w:rsidR="00AD7F08" w:rsidRPr="00134D73">
        <w:rPr>
          <w:bCs/>
          <w:color w:val="000000" w:themeColor="text1"/>
        </w:rPr>
        <w:t>related</w:t>
      </w:r>
      <w:r w:rsidR="00AD7F08" w:rsidRPr="00134D73">
        <w:rPr>
          <w:lang w:val="en-GB"/>
        </w:rPr>
        <w:t xml:space="preserve"> to the investigations subject of the present complaints, </w:t>
      </w:r>
      <w:r w:rsidR="00E92DED" w:rsidRPr="00134D73">
        <w:rPr>
          <w:lang w:val="en-GB"/>
        </w:rPr>
        <w:t>which UNMIK was able to recover.</w:t>
      </w:r>
      <w:r w:rsidR="00AD7F08" w:rsidRPr="00134D73">
        <w:rPr>
          <w:lang w:val="en-GB"/>
        </w:rPr>
        <w:t xml:space="preserve"> </w:t>
      </w:r>
      <w:r w:rsidRPr="00134D73">
        <w:rPr>
          <w:lang w:val="en-GB"/>
        </w:rPr>
        <w:t>O</w:t>
      </w:r>
      <w:r w:rsidRPr="00134D73">
        <w:t xml:space="preserve">n </w:t>
      </w:r>
      <w:r w:rsidR="009A6E2B" w:rsidRPr="00134D73">
        <w:t>1</w:t>
      </w:r>
      <w:r w:rsidR="001850F5" w:rsidRPr="00134D73">
        <w:t xml:space="preserve"> </w:t>
      </w:r>
      <w:r w:rsidR="009A6E2B" w:rsidRPr="00134D73">
        <w:t>April</w:t>
      </w:r>
      <w:r w:rsidR="00E92DED" w:rsidRPr="00134D73">
        <w:t xml:space="preserve"> </w:t>
      </w:r>
      <w:r w:rsidR="00AD7F08" w:rsidRPr="00134D73">
        <w:t>2015</w:t>
      </w:r>
      <w:r w:rsidR="00B77C87" w:rsidRPr="00134D73">
        <w:t xml:space="preserve">, </w:t>
      </w:r>
      <w:r w:rsidRPr="00134D73">
        <w:t xml:space="preserve">UNMIK confirmed to the Panel that no more files have been located, thus the disclosure may be considered complete (see § </w:t>
      </w:r>
      <w:r w:rsidR="00E92DED" w:rsidRPr="00134D73">
        <w:fldChar w:fldCharType="begin"/>
      </w:r>
      <w:r w:rsidR="00E92DED" w:rsidRPr="00134D73">
        <w:instrText xml:space="preserve"> REF _Ref414013761 \r \h </w:instrText>
      </w:r>
      <w:r w:rsidR="009A6E2B" w:rsidRPr="00134D73">
        <w:instrText xml:space="preserve"> \* MERGEFORMAT </w:instrText>
      </w:r>
      <w:r w:rsidR="00E92DED" w:rsidRPr="00134D73">
        <w:fldChar w:fldCharType="separate"/>
      </w:r>
      <w:r w:rsidR="00AB2ED0" w:rsidRPr="00134D73">
        <w:t>9</w:t>
      </w:r>
      <w:r w:rsidR="00E92DED" w:rsidRPr="00134D73">
        <w:fldChar w:fldCharType="end"/>
      </w:r>
      <w:r w:rsidRPr="00134D73">
        <w:t xml:space="preserve"> above).</w:t>
      </w:r>
      <w:bookmarkEnd w:id="64"/>
    </w:p>
    <w:p w:rsidR="003E3F85" w:rsidRPr="00134D73" w:rsidRDefault="003E3F85" w:rsidP="003E3F85">
      <w:pPr>
        <w:suppressAutoHyphens/>
        <w:ind w:left="360"/>
        <w:jc w:val="both"/>
        <w:rPr>
          <w:lang w:val="en-GB"/>
        </w:rPr>
      </w:pPr>
    </w:p>
    <w:p w:rsidR="003E3F85" w:rsidRPr="00E879A0" w:rsidRDefault="003E3F85" w:rsidP="003E3F85">
      <w:pPr>
        <w:numPr>
          <w:ilvl w:val="0"/>
          <w:numId w:val="2"/>
        </w:numPr>
        <w:tabs>
          <w:tab w:val="left" w:pos="709"/>
        </w:tabs>
        <w:suppressAutoHyphens/>
        <w:autoSpaceDE w:val="0"/>
        <w:jc w:val="both"/>
        <w:rPr>
          <w:lang w:val="en-GB"/>
        </w:rPr>
      </w:pPr>
      <w:bookmarkStart w:id="65" w:name="_Ref414015112"/>
      <w:r w:rsidRPr="00134D73">
        <w:rPr>
          <w:lang w:val="en-GB"/>
        </w:rPr>
        <w:t>The Panel notes that Section 15 of UNMIK Regulation No. 2006/12 states that the Panel may request the submission from</w:t>
      </w:r>
      <w:r w:rsidRPr="00E879A0">
        <w:rPr>
          <w:lang w:val="en-GB"/>
        </w:rPr>
        <w:t xml:space="preserve"> UNMIK of any documents and that the SRSG shall cooperate with the Panel and </w:t>
      </w:r>
      <w:proofErr w:type="gramStart"/>
      <w:r w:rsidRPr="00E879A0">
        <w:rPr>
          <w:lang w:val="en-GB"/>
        </w:rPr>
        <w:t>provide</w:t>
      </w:r>
      <w:proofErr w:type="gramEnd"/>
      <w:r w:rsidRPr="00E879A0">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E879A0">
        <w:rPr>
          <w:i/>
          <w:lang w:val="en-GB"/>
        </w:rPr>
        <w:t>Çelikbilek v. Turkey</w:t>
      </w:r>
      <w:r w:rsidRPr="00E879A0">
        <w:rPr>
          <w:lang w:val="en-GB"/>
        </w:rPr>
        <w:t xml:space="preserve">, </w:t>
      </w:r>
      <w:r w:rsidRPr="00E879A0">
        <w:rPr>
          <w:lang w:val="en-GB" w:eastAsia="nl-BE"/>
        </w:rPr>
        <w:t>no. 27693/95, judgment of 31 May 2005</w:t>
      </w:r>
      <w:r w:rsidRPr="00E879A0">
        <w:rPr>
          <w:i/>
          <w:iCs/>
          <w:lang w:val="en-GB" w:eastAsia="nl-BE"/>
        </w:rPr>
        <w:t>,</w:t>
      </w:r>
      <w:r w:rsidRPr="00E879A0">
        <w:rPr>
          <w:iCs/>
          <w:lang w:val="en-GB" w:eastAsia="nl-BE"/>
        </w:rPr>
        <w:t xml:space="preserve"> § 56).</w:t>
      </w:r>
      <w:bookmarkEnd w:id="65"/>
      <w:r w:rsidRPr="00E879A0">
        <w:rPr>
          <w:rFonts w:ascii="Helv" w:hAnsi="Helv" w:cs="Helv"/>
          <w:sz w:val="20"/>
          <w:szCs w:val="20"/>
          <w:lang w:val="en-GB" w:eastAsia="nl-BE"/>
        </w:rPr>
        <w:t xml:space="preserve"> </w:t>
      </w:r>
    </w:p>
    <w:p w:rsidR="003E3F85" w:rsidRPr="00E879A0" w:rsidRDefault="003E3F85" w:rsidP="003E3F85">
      <w:pPr>
        <w:pStyle w:val="ListParagraph"/>
        <w:rPr>
          <w:lang w:val="en-GB"/>
        </w:rPr>
      </w:pPr>
    </w:p>
    <w:p w:rsidR="009923E7" w:rsidRPr="00E879A0" w:rsidRDefault="003E3F85" w:rsidP="007D0DD0">
      <w:pPr>
        <w:pStyle w:val="ListParagraph"/>
        <w:numPr>
          <w:ilvl w:val="0"/>
          <w:numId w:val="2"/>
        </w:numPr>
        <w:jc w:val="both"/>
        <w:rPr>
          <w:lang w:val="en-GB" w:eastAsia="en-US"/>
        </w:rPr>
      </w:pPr>
      <w:bookmarkStart w:id="66" w:name="_Ref409786758"/>
      <w:r w:rsidRPr="00E879A0">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E879A0">
        <w:rPr>
          <w:i/>
          <w:lang w:val="en-GB"/>
        </w:rPr>
        <w:t>per se</w:t>
      </w:r>
      <w:r w:rsidR="009923E7" w:rsidRPr="00E879A0">
        <w:rPr>
          <w:lang w:val="en-GB"/>
        </w:rPr>
        <w:t xml:space="preserve"> issues under Article 2 </w:t>
      </w:r>
      <w:r w:rsidR="009923E7" w:rsidRPr="00E879A0">
        <w:rPr>
          <w:lang w:val="en-GB" w:eastAsia="en-US"/>
        </w:rPr>
        <w:t xml:space="preserve">(see HRAP, </w:t>
      </w:r>
      <w:r w:rsidR="009923E7" w:rsidRPr="00E879A0">
        <w:rPr>
          <w:i/>
          <w:lang w:val="en-GB" w:eastAsia="en-US"/>
        </w:rPr>
        <w:t>Bulatović</w:t>
      </w:r>
      <w:r w:rsidR="009923E7" w:rsidRPr="00E879A0">
        <w:rPr>
          <w:lang w:val="en-GB" w:eastAsia="en-US"/>
        </w:rPr>
        <w:t>, no. 166/09, opinion of 13 November 2014, § 62).</w:t>
      </w:r>
      <w:bookmarkEnd w:id="66"/>
    </w:p>
    <w:p w:rsidR="003E3F85" w:rsidRPr="00E879A0" w:rsidRDefault="003E3F85" w:rsidP="00AD7F08">
      <w:pPr>
        <w:rPr>
          <w:b/>
          <w:lang w:val="en-GB"/>
        </w:rPr>
      </w:pPr>
    </w:p>
    <w:p w:rsidR="003E3F85" w:rsidRPr="00E879A0" w:rsidRDefault="003E3F85" w:rsidP="003E3F85">
      <w:pPr>
        <w:numPr>
          <w:ilvl w:val="0"/>
          <w:numId w:val="2"/>
        </w:numPr>
        <w:tabs>
          <w:tab w:val="left" w:pos="709"/>
        </w:tabs>
        <w:suppressAutoHyphens/>
        <w:autoSpaceDE w:val="0"/>
        <w:jc w:val="both"/>
        <w:rPr>
          <w:b/>
          <w:lang w:val="en-GB"/>
        </w:rPr>
      </w:pPr>
      <w:bookmarkStart w:id="67" w:name="_Ref373945461"/>
      <w:r w:rsidRPr="00E879A0">
        <w:t xml:space="preserve">The </w:t>
      </w:r>
      <w:r w:rsidRPr="00E879A0">
        <w:rPr>
          <w:lang w:val="en-GB"/>
        </w:rPr>
        <w:t>Panel has no reason to doubt that UNMIK undertook all efforts in order to obtain the relevant</w:t>
      </w:r>
      <w:r w:rsidRPr="00E879A0">
        <w:t xml:space="preserve"> investigative files. However, the Panel notes that UNMIK has not provided any explanation as to why the documentation may be incomplete, nor with respect to which parts.</w:t>
      </w:r>
      <w:bookmarkEnd w:id="67"/>
    </w:p>
    <w:p w:rsidR="003E3F85" w:rsidRPr="00E879A0" w:rsidRDefault="003E3F85" w:rsidP="003E3F85">
      <w:pPr>
        <w:pStyle w:val="ListParagraph"/>
        <w:rPr>
          <w:lang w:val="en-GB"/>
        </w:rPr>
      </w:pPr>
    </w:p>
    <w:p w:rsidR="003E3F85" w:rsidRPr="00E879A0" w:rsidRDefault="003E3F85" w:rsidP="003E3F85">
      <w:pPr>
        <w:numPr>
          <w:ilvl w:val="0"/>
          <w:numId w:val="2"/>
        </w:numPr>
        <w:tabs>
          <w:tab w:val="left" w:pos="709"/>
        </w:tabs>
        <w:suppressAutoHyphens/>
        <w:autoSpaceDE w:val="0"/>
        <w:jc w:val="both"/>
        <w:rPr>
          <w:lang w:val="en-GB"/>
        </w:rPr>
      </w:pPr>
      <w:r w:rsidRPr="00E879A0">
        <w:rPr>
          <w:lang w:val="en-GB"/>
        </w:rPr>
        <w:t>The Panel itself is not in the position to verify the completeness of the investigative files received.</w:t>
      </w:r>
      <w:r w:rsidR="002E1F96" w:rsidRPr="00E879A0">
        <w:rPr>
          <w:lang w:val="en-GB"/>
        </w:rPr>
        <w:t xml:space="preserve"> </w:t>
      </w:r>
      <w:r w:rsidRPr="00E879A0">
        <w:rPr>
          <w:lang w:val="en-GB"/>
        </w:rPr>
        <w:t xml:space="preserve">The Panel will therefore assess the merits of the complaint on the basis of </w:t>
      </w:r>
      <w:r w:rsidRPr="00E879A0">
        <w:rPr>
          <w:lang w:val="en-GB"/>
        </w:rPr>
        <w:lastRenderedPageBreak/>
        <w:t xml:space="preserve">documents made available (in this sense, see ECtHR, </w:t>
      </w:r>
      <w:r w:rsidRPr="00E879A0">
        <w:rPr>
          <w:i/>
          <w:lang w:val="en-GB"/>
        </w:rPr>
        <w:t>Tsechoyev v. Russia</w:t>
      </w:r>
      <w:r w:rsidRPr="00E879A0">
        <w:rPr>
          <w:lang w:val="en-GB"/>
        </w:rPr>
        <w:t>, no. 39358/05, judgment of</w:t>
      </w:r>
      <w:r w:rsidRPr="00E879A0">
        <w:rPr>
          <w:i/>
          <w:lang w:val="en-GB"/>
        </w:rPr>
        <w:t xml:space="preserve"> </w:t>
      </w:r>
      <w:r w:rsidRPr="00E879A0">
        <w:rPr>
          <w:lang w:val="en-GB"/>
        </w:rPr>
        <w:t xml:space="preserve">15 March 2011, § 146).  </w:t>
      </w:r>
      <w:bookmarkStart w:id="68" w:name="_Ref366241114"/>
    </w:p>
    <w:p w:rsidR="003E3F85" w:rsidRPr="00E879A0" w:rsidRDefault="003E3F85" w:rsidP="003E3F85">
      <w:pPr>
        <w:pStyle w:val="ListParagraph"/>
        <w:rPr>
          <w:lang w:val="en-GB"/>
        </w:rPr>
      </w:pPr>
    </w:p>
    <w:p w:rsidR="003E3F85" w:rsidRPr="00E879A0" w:rsidRDefault="003E3F85" w:rsidP="003E3F85">
      <w:pPr>
        <w:pStyle w:val="ListParagraph"/>
        <w:numPr>
          <w:ilvl w:val="0"/>
          <w:numId w:val="7"/>
        </w:numPr>
        <w:contextualSpacing/>
        <w:jc w:val="both"/>
        <w:rPr>
          <w:i/>
          <w:lang w:val="en-GB"/>
        </w:rPr>
      </w:pPr>
      <w:r w:rsidRPr="00E879A0">
        <w:rPr>
          <w:i/>
          <w:lang w:val="en-GB" w:eastAsia="en-US"/>
        </w:rPr>
        <w:t>General</w:t>
      </w:r>
      <w:r w:rsidRPr="00E879A0">
        <w:rPr>
          <w:i/>
          <w:lang w:val="en-GB"/>
        </w:rPr>
        <w:t xml:space="preserve"> principles concerning the obligation to conduct an effective investigation under Article 2</w:t>
      </w:r>
    </w:p>
    <w:p w:rsidR="00C4755E" w:rsidRPr="00E879A0" w:rsidRDefault="00C4755E" w:rsidP="009A6E2B">
      <w:pPr>
        <w:suppressAutoHyphens/>
        <w:autoSpaceDE w:val="0"/>
        <w:jc w:val="both"/>
        <w:rPr>
          <w:color w:val="000000"/>
        </w:rPr>
      </w:pPr>
      <w:bookmarkStart w:id="69" w:name="_Ref409081615"/>
    </w:p>
    <w:p w:rsidR="003E3F85" w:rsidRPr="00E879A0" w:rsidRDefault="009A6E2B" w:rsidP="003E3F85">
      <w:pPr>
        <w:numPr>
          <w:ilvl w:val="0"/>
          <w:numId w:val="2"/>
        </w:numPr>
        <w:tabs>
          <w:tab w:val="left" w:pos="709"/>
        </w:tabs>
        <w:suppressAutoHyphens/>
        <w:autoSpaceDE w:val="0"/>
        <w:jc w:val="both"/>
        <w:rPr>
          <w:lang w:val="en-GB"/>
        </w:rPr>
      </w:pPr>
      <w:bookmarkStart w:id="70" w:name="_Ref412809772"/>
      <w:r>
        <w:rPr>
          <w:color w:val="000000" w:themeColor="text1"/>
          <w:lang w:val="en-GB"/>
        </w:rPr>
        <w:t>T</w:t>
      </w:r>
      <w:r w:rsidR="00FC30AF" w:rsidRPr="00E879A0">
        <w:rPr>
          <w:color w:val="000000" w:themeColor="text1"/>
          <w:lang w:val="en-GB"/>
        </w:rPr>
        <w:t xml:space="preserve">he </w:t>
      </w:r>
      <w:r w:rsidR="00FC30AF" w:rsidRPr="00E879A0">
        <w:rPr>
          <w:color w:val="000000" w:themeColor="text1"/>
        </w:rPr>
        <w:t>Panel</w:t>
      </w:r>
      <w:r w:rsidR="00FC30AF" w:rsidRPr="00E879A0">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E879A0">
        <w:rPr>
          <w:i/>
          <w:color w:val="000000" w:themeColor="text1"/>
          <w:lang w:val="en-GB"/>
        </w:rPr>
        <w:t xml:space="preserve">Velásquez-Rodríguez </w:t>
      </w:r>
      <w:r w:rsidR="00FC30AF" w:rsidRPr="00E879A0">
        <w:rPr>
          <w:color w:val="000000" w:themeColor="text1"/>
          <w:lang w:val="en-GB"/>
        </w:rPr>
        <w:t xml:space="preserve">(see Inter-American Court of Human Rights (IACtHR), </w:t>
      </w:r>
      <w:r w:rsidR="00FC30AF" w:rsidRPr="00E879A0">
        <w:rPr>
          <w:i/>
          <w:color w:val="000000" w:themeColor="text1"/>
          <w:lang w:val="en-GB"/>
        </w:rPr>
        <w:t>Velásquez-Rodríguez v. Honduras</w:t>
      </w:r>
      <w:r w:rsidR="00FC30AF" w:rsidRPr="00E879A0">
        <w:rPr>
          <w:color w:val="000000" w:themeColor="text1"/>
          <w:lang w:val="en-GB"/>
        </w:rPr>
        <w:t xml:space="preserve">, judgment of 29 July 1988, </w:t>
      </w:r>
      <w:proofErr w:type="gramStart"/>
      <w:r w:rsidR="00FC30AF" w:rsidRPr="00E879A0">
        <w:rPr>
          <w:color w:val="000000" w:themeColor="text1"/>
          <w:lang w:val="en-GB"/>
        </w:rPr>
        <w:t>Series</w:t>
      </w:r>
      <w:proofErr w:type="gramEnd"/>
      <w:r w:rsidR="00FC30AF" w:rsidRPr="00E879A0">
        <w:rPr>
          <w:color w:val="000000" w:themeColor="text1"/>
          <w:lang w:val="en-GB"/>
        </w:rPr>
        <w:t xml:space="preserve"> C No. 4). </w:t>
      </w:r>
      <w:r w:rsidR="00273478" w:rsidRPr="00E879A0">
        <w:rPr>
          <w:lang w:val="en-GB"/>
        </w:rPr>
        <w:t>T</w:t>
      </w:r>
      <w:r w:rsidR="003E3F85" w:rsidRPr="00E879A0">
        <w:rPr>
          <w:lang w:val="en-GB"/>
        </w:rPr>
        <w:t xml:space="preserve">he Panel </w:t>
      </w:r>
      <w:r w:rsidR="00FC30AF" w:rsidRPr="00E879A0">
        <w:rPr>
          <w:lang w:val="en-GB"/>
        </w:rPr>
        <w:t xml:space="preserve">also </w:t>
      </w:r>
      <w:r w:rsidR="003E3F85" w:rsidRPr="00E879A0">
        <w:rPr>
          <w:lang w:val="en-GB"/>
        </w:rPr>
        <w:t xml:space="preserve">notes that the positive obligation to investigate has been stated by the </w:t>
      </w:r>
      <w:r w:rsidR="00423598" w:rsidRPr="00E879A0">
        <w:rPr>
          <w:lang w:val="en-GB"/>
        </w:rPr>
        <w:t>HRC</w:t>
      </w:r>
      <w:r w:rsidR="003E3F85" w:rsidRPr="00E879A0">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E879A0">
        <w:rPr>
          <w:i/>
          <w:lang w:val="en-GB"/>
        </w:rPr>
        <w:t>Mohamed El Awani, v. Libyan Arab Jamahiriya</w:t>
      </w:r>
      <w:r w:rsidR="003E3F85" w:rsidRPr="00E879A0">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E879A0">
        <w:t xml:space="preserve">UN Document </w:t>
      </w:r>
      <w:r w:rsidR="003E3F85" w:rsidRPr="00E879A0">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8"/>
      <w:bookmarkEnd w:id="69"/>
      <w:bookmarkEnd w:id="70"/>
      <w:r w:rsidR="003E3F85" w:rsidRPr="00E879A0">
        <w:rPr>
          <w:lang w:val="en-GB"/>
        </w:rPr>
        <w:t xml:space="preserve">   </w:t>
      </w:r>
      <w:bookmarkStart w:id="71" w:name="_Ref347561805"/>
    </w:p>
    <w:p w:rsidR="003E3F85" w:rsidRPr="00E879A0" w:rsidRDefault="003E3F85" w:rsidP="003E3F85">
      <w:pPr>
        <w:pStyle w:val="ListParagraph"/>
        <w:suppressAutoHyphens w:val="0"/>
        <w:ind w:left="360"/>
        <w:contextualSpacing/>
        <w:jc w:val="both"/>
        <w:rPr>
          <w:lang w:val="en-GB" w:eastAsia="en-US"/>
        </w:rPr>
      </w:pPr>
    </w:p>
    <w:p w:rsidR="003E3F85" w:rsidRPr="00E879A0" w:rsidRDefault="003E3F85" w:rsidP="003E3F85">
      <w:pPr>
        <w:numPr>
          <w:ilvl w:val="0"/>
          <w:numId w:val="2"/>
        </w:numPr>
        <w:tabs>
          <w:tab w:val="left" w:pos="709"/>
        </w:tabs>
        <w:suppressAutoHyphens/>
        <w:autoSpaceDE w:val="0"/>
        <w:jc w:val="both"/>
        <w:rPr>
          <w:lang w:val="en-GB"/>
        </w:rPr>
      </w:pPr>
      <w:bookmarkStart w:id="72" w:name="_Ref366239860"/>
      <w:r w:rsidRPr="00E879A0">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E879A0">
        <w:rPr>
          <w:i/>
          <w:lang w:val="en-GB"/>
        </w:rPr>
        <w:t>mutatis mutandis</w:t>
      </w:r>
      <w:r w:rsidRPr="00E879A0">
        <w:rPr>
          <w:lang w:val="en-GB"/>
        </w:rPr>
        <w:t xml:space="preserve">, ECtHR, </w:t>
      </w:r>
      <w:r w:rsidRPr="00E879A0">
        <w:rPr>
          <w:i/>
          <w:lang w:val="en-GB"/>
        </w:rPr>
        <w:t>McCann and Others v. the United Kingdom</w:t>
      </w:r>
      <w:r w:rsidRPr="00E879A0">
        <w:rPr>
          <w:lang w:val="en-GB"/>
        </w:rPr>
        <w:t xml:space="preserve">, judgment of 27 September 1995, § 161, Series A no. 324; and ECtHR, </w:t>
      </w:r>
      <w:r w:rsidRPr="00E879A0">
        <w:rPr>
          <w:i/>
          <w:lang w:val="en-GB"/>
        </w:rPr>
        <w:t>Kaya v. Turkey</w:t>
      </w:r>
      <w:r w:rsidRPr="00E879A0">
        <w:rPr>
          <w:lang w:val="en-GB"/>
        </w:rPr>
        <w:t xml:space="preserve">, judgment of 19 February 1998, § 86, Reports 1998-I; see also ECtHR, </w:t>
      </w:r>
      <w:r w:rsidRPr="00E879A0">
        <w:rPr>
          <w:i/>
          <w:lang w:val="en-GB"/>
        </w:rPr>
        <w:t>Jasinskis v. Latvia</w:t>
      </w:r>
      <w:r w:rsidRPr="00E879A0">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E879A0">
        <w:rPr>
          <w:i/>
          <w:lang w:val="en-GB"/>
        </w:rPr>
        <w:t>Kolevi v. Bulgaria</w:t>
      </w:r>
      <w:r w:rsidRPr="00E879A0">
        <w:rPr>
          <w:lang w:val="en-GB"/>
        </w:rPr>
        <w:t>, no. 1108/02, judgment of 5 November 2009, § 191).</w:t>
      </w:r>
      <w:bookmarkEnd w:id="71"/>
      <w:bookmarkEnd w:id="72"/>
    </w:p>
    <w:p w:rsidR="003E3F85" w:rsidRPr="00E879A0" w:rsidRDefault="003E3F85" w:rsidP="003E3F85">
      <w:pPr>
        <w:pStyle w:val="ListParagraph"/>
        <w:tabs>
          <w:tab w:val="num" w:pos="567"/>
        </w:tabs>
        <w:suppressAutoHyphens w:val="0"/>
        <w:ind w:left="567" w:hanging="425"/>
        <w:contextualSpacing/>
        <w:jc w:val="both"/>
        <w:rPr>
          <w:lang w:val="en-GB"/>
        </w:rPr>
      </w:pPr>
    </w:p>
    <w:p w:rsidR="003E3F85" w:rsidRPr="00134D73" w:rsidRDefault="003E3F85" w:rsidP="003E3F85">
      <w:pPr>
        <w:numPr>
          <w:ilvl w:val="0"/>
          <w:numId w:val="2"/>
        </w:numPr>
        <w:tabs>
          <w:tab w:val="left" w:pos="709"/>
        </w:tabs>
        <w:suppressAutoHyphens/>
        <w:autoSpaceDE w:val="0"/>
        <w:jc w:val="both"/>
        <w:rPr>
          <w:lang w:val="en-GB"/>
        </w:rPr>
      </w:pPr>
      <w:bookmarkStart w:id="73" w:name="_Ref401245061"/>
      <w:r w:rsidRPr="00E879A0">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t>
      </w:r>
      <w:r w:rsidRPr="00134D73">
        <w:rPr>
          <w:lang w:val="en-GB"/>
        </w:rPr>
        <w:t xml:space="preserve">was caused by an agent of the State (see ECtHR [GC], </w:t>
      </w:r>
      <w:r w:rsidRPr="00134D73">
        <w:rPr>
          <w:i/>
          <w:lang w:val="en-GB"/>
        </w:rPr>
        <w:t xml:space="preserve">Varnava and Others v. </w:t>
      </w:r>
      <w:r w:rsidRPr="00134D73">
        <w:rPr>
          <w:i/>
          <w:lang w:val="en-GB"/>
        </w:rPr>
        <w:lastRenderedPageBreak/>
        <w:t>Turkey</w:t>
      </w:r>
      <w:r w:rsidRPr="00134D73">
        <w:rPr>
          <w:lang w:val="en-GB"/>
        </w:rPr>
        <w:t xml:space="preserve">, cited in § </w:t>
      </w:r>
      <w:r w:rsidRPr="00134D73">
        <w:fldChar w:fldCharType="begin"/>
      </w:r>
      <w:r w:rsidRPr="00134D73">
        <w:instrText xml:space="preserve"> REF _Ref346123885 \r \h  \* MERGEFORMAT </w:instrText>
      </w:r>
      <w:r w:rsidRPr="00134D73">
        <w:fldChar w:fldCharType="separate"/>
      </w:r>
      <w:r w:rsidR="00AB2ED0" w:rsidRPr="00134D73">
        <w:rPr>
          <w:lang w:val="en-GB"/>
        </w:rPr>
        <w:t>54</w:t>
      </w:r>
      <w:r w:rsidRPr="00134D73">
        <w:fldChar w:fldCharType="end"/>
      </w:r>
      <w:r w:rsidRPr="00134D73">
        <w:rPr>
          <w:lang w:val="en-GB"/>
        </w:rPr>
        <w:t xml:space="preserve"> above, at § 136</w:t>
      </w:r>
      <w:r w:rsidR="00423598" w:rsidRPr="00134D73">
        <w:rPr>
          <w:lang w:val="en-GB"/>
        </w:rPr>
        <w:t>,</w:t>
      </w:r>
      <w:r w:rsidR="00423598" w:rsidRPr="00134D73">
        <w:rPr>
          <w:i/>
          <w:iCs/>
          <w:lang w:val="en-GB"/>
        </w:rPr>
        <w:t xml:space="preserve"> </w:t>
      </w:r>
      <w:r w:rsidR="00423598" w:rsidRPr="00134D73">
        <w:rPr>
          <w:lang w:val="en-GB"/>
        </w:rPr>
        <w:t xml:space="preserve">ECtHR [GC], </w:t>
      </w:r>
      <w:proofErr w:type="spellStart"/>
      <w:r w:rsidR="00423598" w:rsidRPr="00134D73">
        <w:rPr>
          <w:i/>
          <w:iCs/>
          <w:lang w:val="en-GB"/>
        </w:rPr>
        <w:t>Mocanu</w:t>
      </w:r>
      <w:proofErr w:type="spellEnd"/>
      <w:r w:rsidR="00423598" w:rsidRPr="00134D73">
        <w:rPr>
          <w:i/>
          <w:iCs/>
          <w:lang w:val="en-GB"/>
        </w:rPr>
        <w:t xml:space="preserve"> and Others v. Romania</w:t>
      </w:r>
      <w:r w:rsidR="00423598" w:rsidRPr="00134D73">
        <w:rPr>
          <w:lang w:val="en-GB"/>
        </w:rPr>
        <w:t xml:space="preserve">, </w:t>
      </w:r>
      <w:proofErr w:type="spellStart"/>
      <w:r w:rsidR="00423598" w:rsidRPr="00134D73">
        <w:rPr>
          <w:lang w:val="en-GB"/>
        </w:rPr>
        <w:t>nos</w:t>
      </w:r>
      <w:proofErr w:type="spellEnd"/>
      <w:r w:rsidR="00423598" w:rsidRPr="00134D73">
        <w:rPr>
          <w:lang w:val="en-GB"/>
        </w:rPr>
        <w:t xml:space="preserve"> 10865/09, 45886/07 and 32431/08, judgment of 17 September 2014, § 317).</w:t>
      </w:r>
      <w:bookmarkEnd w:id="73"/>
    </w:p>
    <w:p w:rsidR="003E3F85" w:rsidRPr="00134D73" w:rsidRDefault="003E3F85" w:rsidP="003E3F85">
      <w:pPr>
        <w:pStyle w:val="ListParagraph"/>
        <w:tabs>
          <w:tab w:val="num" w:pos="567"/>
        </w:tabs>
        <w:suppressAutoHyphens w:val="0"/>
        <w:ind w:left="567" w:hanging="425"/>
        <w:contextualSpacing/>
        <w:jc w:val="both"/>
        <w:rPr>
          <w:lang w:val="en-GB"/>
        </w:rPr>
      </w:pPr>
    </w:p>
    <w:p w:rsidR="003E3F85" w:rsidRPr="00134D73" w:rsidRDefault="003E3F85" w:rsidP="00423598">
      <w:pPr>
        <w:pStyle w:val="ListParagraph"/>
        <w:numPr>
          <w:ilvl w:val="0"/>
          <w:numId w:val="2"/>
        </w:numPr>
        <w:jc w:val="both"/>
        <w:rPr>
          <w:lang w:val="en-GB" w:eastAsia="en-US"/>
        </w:rPr>
      </w:pPr>
      <w:bookmarkStart w:id="74" w:name="_Ref366240125"/>
      <w:r w:rsidRPr="00134D73">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134D73">
        <w:rPr>
          <w:i/>
          <w:lang w:val="en-GB"/>
        </w:rPr>
        <w:t>Ahmet Özkan and Others v. Turkey</w:t>
      </w:r>
      <w:r w:rsidRPr="00134D73">
        <w:rPr>
          <w:lang w:val="en-GB"/>
        </w:rPr>
        <w:t xml:space="preserve">, no. 21689/93, judgment of 6 April 2004, § 310, see also ECtHR, </w:t>
      </w:r>
      <w:r w:rsidRPr="00134D73">
        <w:rPr>
          <w:i/>
          <w:lang w:val="en-GB"/>
        </w:rPr>
        <w:t>Isayeva v. Russia</w:t>
      </w:r>
      <w:r w:rsidRPr="00134D73">
        <w:rPr>
          <w:lang w:val="en-GB"/>
        </w:rPr>
        <w:t>, no. 57950/00, judg</w:t>
      </w:r>
      <w:r w:rsidR="00423598" w:rsidRPr="00134D73">
        <w:rPr>
          <w:lang w:val="en-GB"/>
        </w:rPr>
        <w:t>ment of 24 February 2005, § 210,</w:t>
      </w:r>
      <w:r w:rsidR="00423598" w:rsidRPr="00134D73">
        <w:rPr>
          <w:lang w:val="en-GB" w:eastAsia="en-US"/>
        </w:rPr>
        <w:t xml:space="preserve"> ECtHR [GC], </w:t>
      </w:r>
      <w:proofErr w:type="spellStart"/>
      <w:r w:rsidR="00423598" w:rsidRPr="00134D73">
        <w:rPr>
          <w:i/>
          <w:lang w:val="en-GB" w:eastAsia="en-US"/>
        </w:rPr>
        <w:t>Mocanu</w:t>
      </w:r>
      <w:proofErr w:type="spellEnd"/>
      <w:r w:rsidR="00423598" w:rsidRPr="00134D73">
        <w:rPr>
          <w:i/>
          <w:lang w:val="en-GB" w:eastAsia="en-US"/>
        </w:rPr>
        <w:t xml:space="preserve"> and Others v. Romania</w:t>
      </w:r>
      <w:r w:rsidR="00423598" w:rsidRPr="00134D73">
        <w:rPr>
          <w:lang w:val="en-GB" w:eastAsia="en-US"/>
        </w:rPr>
        <w:t>, cited above, § 321).</w:t>
      </w:r>
      <w:bookmarkStart w:id="75" w:name="_Ref346724174"/>
      <w:bookmarkEnd w:id="74"/>
    </w:p>
    <w:p w:rsidR="003E3F85" w:rsidRPr="00134D73" w:rsidRDefault="003E3F85" w:rsidP="003E3F85">
      <w:pPr>
        <w:pStyle w:val="ListParagraph"/>
        <w:tabs>
          <w:tab w:val="num" w:pos="567"/>
        </w:tabs>
        <w:ind w:left="567" w:hanging="425"/>
        <w:rPr>
          <w:lang w:val="en-GB"/>
        </w:rPr>
      </w:pPr>
    </w:p>
    <w:p w:rsidR="003E3F85" w:rsidRPr="00134D73" w:rsidRDefault="003E3F85" w:rsidP="003E3F85">
      <w:pPr>
        <w:numPr>
          <w:ilvl w:val="0"/>
          <w:numId w:val="2"/>
        </w:numPr>
        <w:tabs>
          <w:tab w:val="left" w:pos="709"/>
        </w:tabs>
        <w:suppressAutoHyphens/>
        <w:autoSpaceDE w:val="0"/>
        <w:jc w:val="both"/>
        <w:rPr>
          <w:lang w:val="en-GB"/>
        </w:rPr>
      </w:pPr>
      <w:bookmarkStart w:id="76" w:name="_Ref366239979"/>
      <w:r w:rsidRPr="00134D73">
        <w:rPr>
          <w:lang w:val="en-GB"/>
        </w:rPr>
        <w:t>Setting out the standards of an effective investigat</w:t>
      </w:r>
      <w:r w:rsidR="00CD6EFB" w:rsidRPr="00134D73">
        <w:rPr>
          <w:lang w:val="en-GB"/>
        </w:rPr>
        <w:t xml:space="preserve">ion, the Court has stated that </w:t>
      </w:r>
      <w:r w:rsidRPr="00134D73">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134D73">
        <w:rPr>
          <w:lang w:val="en-GB"/>
        </w:rPr>
        <w:t>punishment of those responsible</w:t>
      </w:r>
      <w:r w:rsidRPr="00134D73">
        <w:rPr>
          <w:lang w:val="en-GB"/>
        </w:rPr>
        <w:t xml:space="preserve"> (see ECtHR [GC], </w:t>
      </w:r>
      <w:r w:rsidRPr="00134D73">
        <w:rPr>
          <w:i/>
          <w:lang w:val="en-GB"/>
        </w:rPr>
        <w:t xml:space="preserve">Varnava and Others v. </w:t>
      </w:r>
      <w:r w:rsidRPr="00134D73">
        <w:rPr>
          <w:lang w:val="en-GB"/>
        </w:rPr>
        <w:t xml:space="preserve">Turkey, cited in § </w:t>
      </w:r>
      <w:r w:rsidRPr="00134D73">
        <w:fldChar w:fldCharType="begin"/>
      </w:r>
      <w:r w:rsidRPr="00134D73">
        <w:instrText xml:space="preserve"> REF _Ref346123885 \r \h  \* MERGEFORMAT </w:instrText>
      </w:r>
      <w:r w:rsidRPr="00134D73">
        <w:fldChar w:fldCharType="separate"/>
      </w:r>
      <w:r w:rsidR="00AB2ED0" w:rsidRPr="00134D73">
        <w:rPr>
          <w:lang w:val="en-GB"/>
        </w:rPr>
        <w:t>54</w:t>
      </w:r>
      <w:r w:rsidRPr="00134D73">
        <w:fldChar w:fldCharType="end"/>
      </w:r>
      <w:r w:rsidRPr="00134D73">
        <w:rPr>
          <w:lang w:val="en-GB"/>
        </w:rPr>
        <w:t xml:space="preserve"> above, at § 191; see also ECtHR, </w:t>
      </w:r>
      <w:r w:rsidRPr="00134D73">
        <w:rPr>
          <w:i/>
          <w:lang w:val="en-GB"/>
        </w:rPr>
        <w:t>Palić v. Bosnia and Herzegovina</w:t>
      </w:r>
      <w:r w:rsidRPr="00134D73">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134D73">
        <w:rPr>
          <w:i/>
          <w:lang w:val="en-GB"/>
        </w:rPr>
        <w:t>Ahmet Özkan and Others v. Turkey</w:t>
      </w:r>
      <w:r w:rsidRPr="00134D73">
        <w:rPr>
          <w:lang w:val="en-GB"/>
        </w:rPr>
        <w:t>, cited above, at § 312, and ECtHR,</w:t>
      </w:r>
      <w:r w:rsidRPr="00134D73">
        <w:rPr>
          <w:i/>
          <w:lang w:val="en-GB"/>
        </w:rPr>
        <w:t xml:space="preserve"> Isayeva v. Russia</w:t>
      </w:r>
      <w:r w:rsidRPr="00134D73">
        <w:rPr>
          <w:lang w:val="en-GB"/>
        </w:rPr>
        <w:t>, cited above, at § 212).</w:t>
      </w:r>
      <w:bookmarkEnd w:id="75"/>
      <w:bookmarkEnd w:id="76"/>
      <w:r w:rsidRPr="00134D73">
        <w:rPr>
          <w:lang w:val="en-GB"/>
        </w:rPr>
        <w:t xml:space="preserve"> </w:t>
      </w:r>
    </w:p>
    <w:p w:rsidR="003E3F85" w:rsidRPr="00134D73" w:rsidRDefault="003E3F85" w:rsidP="003E3F85">
      <w:pPr>
        <w:pStyle w:val="ListParagraph"/>
        <w:suppressAutoHyphens w:val="0"/>
        <w:ind w:left="360"/>
        <w:contextualSpacing/>
        <w:jc w:val="both"/>
        <w:rPr>
          <w:lang w:val="en-GB" w:eastAsia="en-US"/>
        </w:rPr>
      </w:pPr>
    </w:p>
    <w:p w:rsidR="00423598" w:rsidRPr="00134D73" w:rsidRDefault="003E3F85" w:rsidP="00423598">
      <w:pPr>
        <w:pStyle w:val="ListParagraph"/>
        <w:numPr>
          <w:ilvl w:val="0"/>
          <w:numId w:val="2"/>
        </w:numPr>
        <w:jc w:val="both"/>
        <w:rPr>
          <w:lang w:val="en-GB" w:eastAsia="en-US"/>
        </w:rPr>
      </w:pPr>
      <w:bookmarkStart w:id="77" w:name="_Ref373832219"/>
      <w:bookmarkStart w:id="78" w:name="_Ref401245516"/>
      <w:r w:rsidRPr="00134D73">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134D73">
        <w:rPr>
          <w:i/>
          <w:lang w:val="en-GB"/>
        </w:rPr>
        <w:t>Kolevi v. Bulgaria</w:t>
      </w:r>
      <w:r w:rsidRPr="00134D73">
        <w:rPr>
          <w:lang w:val="en-GB"/>
        </w:rPr>
        <w:t xml:space="preserve">, cited in § </w:t>
      </w:r>
      <w:r w:rsidRPr="00134D73">
        <w:fldChar w:fldCharType="begin"/>
      </w:r>
      <w:r w:rsidRPr="00134D73">
        <w:instrText xml:space="preserve"> REF _Ref366239860 \r \h  \* MERGEFORMAT </w:instrText>
      </w:r>
      <w:r w:rsidRPr="00134D73">
        <w:fldChar w:fldCharType="separate"/>
      </w:r>
      <w:r w:rsidR="00AB2ED0" w:rsidRPr="00134D73">
        <w:rPr>
          <w:lang w:val="en-GB"/>
        </w:rPr>
        <w:t>77</w:t>
      </w:r>
      <w:r w:rsidRPr="00134D73">
        <w:fldChar w:fldCharType="end"/>
      </w:r>
      <w:r w:rsidRPr="00134D73">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77"/>
      <w:r w:rsidR="00423598" w:rsidRPr="00134D73">
        <w:rPr>
          <w:lang w:val="en-GB"/>
        </w:rPr>
        <w:t xml:space="preserve"> </w:t>
      </w:r>
      <w:r w:rsidR="00423598" w:rsidRPr="00134D73">
        <w:rPr>
          <w:color w:val="000000"/>
          <w:lang w:val="en-GB"/>
        </w:rPr>
        <w:t xml:space="preserve">(see ECtHR, </w:t>
      </w:r>
      <w:r w:rsidR="00423598" w:rsidRPr="00134D73">
        <w:rPr>
          <w:i/>
          <w:color w:val="000000"/>
          <w:lang w:val="en-GB"/>
        </w:rPr>
        <w:t>Velcea and Maz</w:t>
      </w:r>
      <w:r w:rsidR="00423598" w:rsidRPr="00134D73">
        <w:rPr>
          <w:i/>
          <w:lang w:val="en-GB"/>
        </w:rPr>
        <w:t>ăre v. Romania</w:t>
      </w:r>
      <w:r w:rsidR="00423598" w:rsidRPr="00134D73">
        <w:rPr>
          <w:lang w:val="en-GB"/>
        </w:rPr>
        <w:t xml:space="preserve">, no. 64301/01, judgment of 1 December 2009, § 105). At the same time, </w:t>
      </w:r>
      <w:r w:rsidR="00423598" w:rsidRPr="00134D73">
        <w:rPr>
          <w:rStyle w:val="sb8d990e2"/>
        </w:rPr>
        <w:t>the authorities must always make a serious attempt to find out what happened and should not rely on hasty or ill-founded conclusions to close their investigation</w:t>
      </w:r>
      <w:r w:rsidR="00423598" w:rsidRPr="00134D73">
        <w:rPr>
          <w:rStyle w:val="sb8d990e2"/>
          <w:color w:val="FF0000"/>
        </w:rPr>
        <w:t xml:space="preserve"> </w:t>
      </w:r>
      <w:r w:rsidR="00423598" w:rsidRPr="00134D73">
        <w:rPr>
          <w:lang w:val="en-GB" w:eastAsia="en-US"/>
        </w:rPr>
        <w:t xml:space="preserve">(see ECtHR [GC], </w:t>
      </w:r>
      <w:r w:rsidR="00A56D97" w:rsidRPr="00134D73">
        <w:rPr>
          <w:i/>
          <w:lang w:val="en-GB" w:eastAsia="en-US"/>
        </w:rPr>
        <w:t>El-Masri v. “t</w:t>
      </w:r>
      <w:r w:rsidR="00713D84" w:rsidRPr="00134D73">
        <w:rPr>
          <w:i/>
          <w:lang w:val="en-GB" w:eastAsia="en-US"/>
        </w:rPr>
        <w:t>he f</w:t>
      </w:r>
      <w:r w:rsidR="00423598" w:rsidRPr="00134D73">
        <w:rPr>
          <w:i/>
          <w:lang w:val="en-GB" w:eastAsia="en-US"/>
        </w:rPr>
        <w:t>ormer Yugoslav Republic of Macedonia”</w:t>
      </w:r>
      <w:r w:rsidR="00423598" w:rsidRPr="00134D73">
        <w:rPr>
          <w:lang w:val="en-GB" w:eastAsia="en-US"/>
        </w:rPr>
        <w:t xml:space="preserve">, no. 39630/09, judgment of 13 December 2012, § 183; ECtHR [GC], </w:t>
      </w:r>
      <w:proofErr w:type="spellStart"/>
      <w:r w:rsidR="00423598" w:rsidRPr="00134D73">
        <w:rPr>
          <w:i/>
          <w:lang w:val="en-GB" w:eastAsia="en-US"/>
        </w:rPr>
        <w:t>Mocanu</w:t>
      </w:r>
      <w:proofErr w:type="spellEnd"/>
      <w:r w:rsidR="00423598" w:rsidRPr="00134D73">
        <w:rPr>
          <w:i/>
          <w:lang w:val="en-GB" w:eastAsia="en-US"/>
        </w:rPr>
        <w:t xml:space="preserve"> and Others v. Romania</w:t>
      </w:r>
      <w:r w:rsidR="00423598" w:rsidRPr="00134D73">
        <w:rPr>
          <w:lang w:val="en-GB" w:eastAsia="en-US"/>
        </w:rPr>
        <w:t xml:space="preserve">, cited in § </w:t>
      </w:r>
      <w:r w:rsidR="00423598" w:rsidRPr="00134D73">
        <w:rPr>
          <w:lang w:val="en-GB" w:eastAsia="en-US"/>
        </w:rPr>
        <w:fldChar w:fldCharType="begin"/>
      </w:r>
      <w:r w:rsidR="00423598" w:rsidRPr="00134D73">
        <w:rPr>
          <w:lang w:val="en-GB" w:eastAsia="en-US"/>
        </w:rPr>
        <w:instrText xml:space="preserve"> REF _Ref401245061 \r \h </w:instrText>
      </w:r>
      <w:r w:rsidR="00393E7A" w:rsidRPr="00134D73">
        <w:rPr>
          <w:lang w:val="en-GB" w:eastAsia="en-US"/>
        </w:rPr>
        <w:instrText xml:space="preserve"> \* MERGEFORMAT </w:instrText>
      </w:r>
      <w:r w:rsidR="00423598" w:rsidRPr="00134D73">
        <w:rPr>
          <w:lang w:val="en-GB" w:eastAsia="en-US"/>
        </w:rPr>
      </w:r>
      <w:r w:rsidR="00423598" w:rsidRPr="00134D73">
        <w:rPr>
          <w:lang w:val="en-GB" w:eastAsia="en-US"/>
        </w:rPr>
        <w:fldChar w:fldCharType="separate"/>
      </w:r>
      <w:r w:rsidR="00AB2ED0" w:rsidRPr="00134D73">
        <w:rPr>
          <w:lang w:val="en-GB" w:eastAsia="en-US"/>
        </w:rPr>
        <w:t>78</w:t>
      </w:r>
      <w:r w:rsidR="00423598" w:rsidRPr="00134D73">
        <w:rPr>
          <w:lang w:val="en-GB" w:eastAsia="en-US"/>
        </w:rPr>
        <w:fldChar w:fldCharType="end"/>
      </w:r>
      <w:r w:rsidR="00423598" w:rsidRPr="00134D73">
        <w:rPr>
          <w:lang w:val="en-GB" w:eastAsia="en-US"/>
        </w:rPr>
        <w:t xml:space="preserve"> above, at § 322).</w:t>
      </w:r>
      <w:bookmarkEnd w:id="78"/>
    </w:p>
    <w:p w:rsidR="003E3F85" w:rsidRPr="00134D73" w:rsidRDefault="003E3F85" w:rsidP="00423598">
      <w:pPr>
        <w:tabs>
          <w:tab w:val="left" w:pos="709"/>
        </w:tabs>
        <w:suppressAutoHyphens/>
        <w:autoSpaceDE w:val="0"/>
        <w:ind w:left="360"/>
        <w:jc w:val="both"/>
        <w:rPr>
          <w:lang w:val="en-GB"/>
        </w:rPr>
      </w:pPr>
    </w:p>
    <w:p w:rsidR="003E3F85" w:rsidRPr="00134D73" w:rsidRDefault="003E3F85" w:rsidP="003E3F85">
      <w:pPr>
        <w:numPr>
          <w:ilvl w:val="0"/>
          <w:numId w:val="2"/>
        </w:numPr>
        <w:tabs>
          <w:tab w:val="left" w:pos="709"/>
        </w:tabs>
        <w:suppressAutoHyphens/>
        <w:autoSpaceDE w:val="0"/>
        <w:jc w:val="both"/>
        <w:rPr>
          <w:lang w:val="en-GB"/>
        </w:rPr>
      </w:pPr>
      <w:bookmarkStart w:id="79" w:name="_Ref404684740"/>
      <w:r w:rsidRPr="00134D73">
        <w:rPr>
          <w:rStyle w:val="sb8d990e2"/>
        </w:rPr>
        <w:t xml:space="preserve">A requirement of promptness and reasonable expedition is implicit in this context. Even where there may be obstacles or difficulties which prevent progress in an </w:t>
      </w:r>
      <w:bookmarkStart w:id="80" w:name="HIT98"/>
      <w:bookmarkEnd w:id="80"/>
      <w:r w:rsidRPr="00134D73">
        <w:rPr>
          <w:rStyle w:val="sb8d990e2"/>
        </w:rPr>
        <w:t xml:space="preserve">investigation in a particular situation, a </w:t>
      </w:r>
      <w:bookmarkStart w:id="81" w:name="HIT99"/>
      <w:bookmarkEnd w:id="81"/>
      <w:r w:rsidRPr="00134D73">
        <w:rPr>
          <w:rStyle w:val="sb8d990e2"/>
        </w:rPr>
        <w:t>prompt response by the authorities is vital in maintaining public confidence in their adherence to the rule of law and in preventing any appearance of collusion in or tolerance of unlawful acts (see ECtHR,</w:t>
      </w:r>
      <w:r w:rsidRPr="00134D73">
        <w:rPr>
          <w:rStyle w:val="s6b621b36"/>
        </w:rPr>
        <w:t xml:space="preserve"> </w:t>
      </w:r>
      <w:r w:rsidRPr="00134D73">
        <w:rPr>
          <w:rStyle w:val="s6b621b36"/>
          <w:i/>
        </w:rPr>
        <w:t>Paul and Audrey Edwards</w:t>
      </w:r>
      <w:r w:rsidRPr="00134D73">
        <w:rPr>
          <w:rStyle w:val="sb8d990e2"/>
        </w:rPr>
        <w:t xml:space="preserve"> </w:t>
      </w:r>
      <w:r w:rsidRPr="00134D73">
        <w:rPr>
          <w:i/>
        </w:rPr>
        <w:t xml:space="preserve">v. the </w:t>
      </w:r>
      <w:r w:rsidRPr="00134D73">
        <w:rPr>
          <w:i/>
        </w:rPr>
        <w:lastRenderedPageBreak/>
        <w:t>United Kingdom</w:t>
      </w:r>
      <w:r w:rsidRPr="00134D73">
        <w:t xml:space="preserve">, no. 46477/99, judgment of 14 March 2002, § 72, </w:t>
      </w:r>
      <w:proofErr w:type="spellStart"/>
      <w:r w:rsidR="00423598" w:rsidRPr="00134D73">
        <w:t>ECtHR</w:t>
      </w:r>
      <w:proofErr w:type="spellEnd"/>
      <w:r w:rsidR="00423598" w:rsidRPr="00134D73">
        <w:t xml:space="preserve"> [GC], </w:t>
      </w:r>
      <w:proofErr w:type="spellStart"/>
      <w:r w:rsidR="00423598" w:rsidRPr="00134D73">
        <w:rPr>
          <w:i/>
        </w:rPr>
        <w:t>Mocanu</w:t>
      </w:r>
      <w:proofErr w:type="spellEnd"/>
      <w:r w:rsidR="00423598" w:rsidRPr="00134D73">
        <w:rPr>
          <w:i/>
        </w:rPr>
        <w:t xml:space="preserve"> and Others v. Romania</w:t>
      </w:r>
      <w:r w:rsidR="00423598" w:rsidRPr="00134D73">
        <w:t xml:space="preserve">, cited in § </w:t>
      </w:r>
      <w:r w:rsidR="00423598" w:rsidRPr="00134D73">
        <w:fldChar w:fldCharType="begin"/>
      </w:r>
      <w:r w:rsidR="00423598" w:rsidRPr="00134D73">
        <w:instrText xml:space="preserve"> REF _Ref401245061 \r \h </w:instrText>
      </w:r>
      <w:r w:rsidR="00393E7A" w:rsidRPr="00134D73">
        <w:instrText xml:space="preserve"> \* MERGEFORMAT </w:instrText>
      </w:r>
      <w:r w:rsidR="00423598" w:rsidRPr="00134D73">
        <w:fldChar w:fldCharType="separate"/>
      </w:r>
      <w:r w:rsidR="00AB2ED0" w:rsidRPr="00134D73">
        <w:t>78</w:t>
      </w:r>
      <w:r w:rsidR="00423598" w:rsidRPr="00134D73">
        <w:fldChar w:fldCharType="end"/>
      </w:r>
      <w:r w:rsidR="00423598" w:rsidRPr="00134D73">
        <w:t xml:space="preserve"> above, at § 323</w:t>
      </w:r>
      <w:r w:rsidRPr="00134D73">
        <w:t>).</w:t>
      </w:r>
      <w:bookmarkEnd w:id="79"/>
    </w:p>
    <w:p w:rsidR="003E3F85" w:rsidRPr="00134D73" w:rsidRDefault="003E3F85" w:rsidP="003E3F85">
      <w:pPr>
        <w:tabs>
          <w:tab w:val="num" w:pos="567"/>
        </w:tabs>
        <w:ind w:left="567" w:hanging="425"/>
        <w:contextualSpacing/>
        <w:jc w:val="both"/>
        <w:rPr>
          <w:lang w:val="en-GB"/>
        </w:rPr>
      </w:pPr>
    </w:p>
    <w:p w:rsidR="003E3F85" w:rsidRPr="00134D73" w:rsidRDefault="003E3F85" w:rsidP="003E3F85">
      <w:pPr>
        <w:numPr>
          <w:ilvl w:val="0"/>
          <w:numId w:val="2"/>
        </w:numPr>
        <w:tabs>
          <w:tab w:val="left" w:pos="709"/>
        </w:tabs>
        <w:suppressAutoHyphens/>
        <w:autoSpaceDE w:val="0"/>
        <w:jc w:val="both"/>
        <w:rPr>
          <w:lang w:val="en-GB"/>
        </w:rPr>
      </w:pPr>
      <w:bookmarkStart w:id="82" w:name="_Ref373950745"/>
      <w:r w:rsidRPr="00134D73">
        <w:rPr>
          <w:lang w:val="en-GB"/>
        </w:rPr>
        <w:t>Specifically with regard to persons disappeared and later found dead,</w:t>
      </w:r>
      <w:r w:rsidR="00DB4BC9" w:rsidRPr="00134D73">
        <w:rPr>
          <w:lang w:val="en-GB"/>
        </w:rPr>
        <w:t xml:space="preserve"> which is not th</w:t>
      </w:r>
      <w:r w:rsidR="008E6918" w:rsidRPr="00134D73">
        <w:rPr>
          <w:lang w:val="en-GB"/>
        </w:rPr>
        <w:t xml:space="preserve">e situation in the present </w:t>
      </w:r>
      <w:proofErr w:type="gramStart"/>
      <w:r w:rsidR="008E6918" w:rsidRPr="00134D73">
        <w:rPr>
          <w:lang w:val="en-GB"/>
        </w:rPr>
        <w:t>case,</w:t>
      </w:r>
      <w:proofErr w:type="gramEnd"/>
      <w:r w:rsidRPr="00134D73">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134D73">
        <w:rPr>
          <w:i/>
          <w:lang w:val="en-GB"/>
        </w:rPr>
        <w:t>Palić v. Bosnia and Herzegovina</w:t>
      </w:r>
      <w:r w:rsidRPr="00134D73">
        <w:rPr>
          <w:lang w:val="en-GB"/>
        </w:rPr>
        <w:t xml:space="preserve">, cited in § </w:t>
      </w:r>
      <w:r w:rsidRPr="00134D73">
        <w:fldChar w:fldCharType="begin"/>
      </w:r>
      <w:r w:rsidRPr="00134D73">
        <w:instrText xml:space="preserve"> REF _Ref366239979 \r \h  \* MERGEFORMAT </w:instrText>
      </w:r>
      <w:r w:rsidRPr="00134D73">
        <w:fldChar w:fldCharType="separate"/>
      </w:r>
      <w:r w:rsidR="00AB2ED0" w:rsidRPr="00134D73">
        <w:rPr>
          <w:lang w:val="en-GB"/>
        </w:rPr>
        <w:t>80</w:t>
      </w:r>
      <w:r w:rsidRPr="00134D73">
        <w:fldChar w:fldCharType="end"/>
      </w:r>
      <w:r w:rsidRPr="00134D73">
        <w:rPr>
          <w:lang w:val="en-GB"/>
        </w:rPr>
        <w:t xml:space="preserve"> above, § 46; in the same sense ECtHR [GC], </w:t>
      </w:r>
      <w:r w:rsidRPr="00134D73">
        <w:rPr>
          <w:i/>
          <w:lang w:val="en-GB"/>
        </w:rPr>
        <w:t>Varnava and Others v. Turkey</w:t>
      </w:r>
      <w:r w:rsidRPr="00134D73">
        <w:rPr>
          <w:lang w:val="en-GB"/>
        </w:rPr>
        <w:t xml:space="preserve">, cited in § </w:t>
      </w:r>
      <w:r w:rsidRPr="00134D73">
        <w:fldChar w:fldCharType="begin"/>
      </w:r>
      <w:r w:rsidRPr="00134D73">
        <w:instrText xml:space="preserve"> REF _Ref346123885 \r \h  \* MERGEFORMAT </w:instrText>
      </w:r>
      <w:r w:rsidRPr="00134D73">
        <w:fldChar w:fldCharType="separate"/>
      </w:r>
      <w:r w:rsidR="00AB2ED0" w:rsidRPr="00134D73">
        <w:rPr>
          <w:lang w:val="en-GB"/>
        </w:rPr>
        <w:t>54</w:t>
      </w:r>
      <w:r w:rsidRPr="00134D73">
        <w:fldChar w:fldCharType="end"/>
      </w:r>
      <w:r w:rsidRPr="00134D73">
        <w:rPr>
          <w:lang w:val="en-GB"/>
        </w:rPr>
        <w:t xml:space="preserve"> above, § 148, </w:t>
      </w:r>
      <w:r w:rsidRPr="00134D73">
        <w:rPr>
          <w:i/>
          <w:lang w:val="en-GB"/>
        </w:rPr>
        <w:t>Aslakhanova and Others v. Russia</w:t>
      </w:r>
      <w:r w:rsidRPr="00134D73">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134D73">
        <w:rPr>
          <w:lang w:val="en-GB"/>
        </w:rPr>
        <w:t>disappearance and probable killing</w:t>
      </w:r>
      <w:r w:rsidRPr="00134D73">
        <w:rPr>
          <w:lang w:val="en-GB"/>
        </w:rPr>
        <w:t xml:space="preserve">, as well as to identify and prosecute any perpetrator of unlawful acts in that connection, will generally remain” (ECtHR, </w:t>
      </w:r>
      <w:r w:rsidRPr="00134D73">
        <w:rPr>
          <w:i/>
          <w:lang w:val="en-GB"/>
        </w:rPr>
        <w:t>Palić v. Bosnia and Herzegovina</w:t>
      </w:r>
      <w:r w:rsidRPr="00134D73">
        <w:rPr>
          <w:lang w:val="en-GB"/>
        </w:rPr>
        <w:t xml:space="preserve">, cited above, § 46; in the same sense ECtHR [GC], </w:t>
      </w:r>
      <w:r w:rsidRPr="00134D73">
        <w:rPr>
          <w:i/>
          <w:lang w:val="en-GB"/>
        </w:rPr>
        <w:t>Varnava and Others v. Turkey</w:t>
      </w:r>
      <w:r w:rsidRPr="00134D73">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134D73">
        <w:rPr>
          <w:i/>
          <w:lang w:val="en-GB"/>
        </w:rPr>
        <w:t>Palić v. Bosnia and Herzegovina</w:t>
      </w:r>
      <w:r w:rsidRPr="00134D73">
        <w:rPr>
          <w:lang w:val="en-GB"/>
        </w:rPr>
        <w:t>, cited above, § 64).</w:t>
      </w:r>
      <w:bookmarkStart w:id="83" w:name="_Ref347937166"/>
      <w:bookmarkEnd w:id="82"/>
    </w:p>
    <w:p w:rsidR="003E3F85" w:rsidRPr="00134D73" w:rsidRDefault="003E3F85" w:rsidP="003E3F85">
      <w:pPr>
        <w:pStyle w:val="ListParagraph"/>
        <w:suppressAutoHyphens w:val="0"/>
        <w:ind w:left="360"/>
        <w:contextualSpacing/>
        <w:jc w:val="both"/>
        <w:rPr>
          <w:lang w:val="en-GB" w:eastAsia="en-US"/>
        </w:rPr>
      </w:pPr>
    </w:p>
    <w:p w:rsidR="002437E9" w:rsidRPr="00134D73" w:rsidRDefault="003E3F85" w:rsidP="002437E9">
      <w:pPr>
        <w:numPr>
          <w:ilvl w:val="0"/>
          <w:numId w:val="2"/>
        </w:numPr>
        <w:tabs>
          <w:tab w:val="left" w:pos="709"/>
        </w:tabs>
        <w:suppressAutoHyphens/>
        <w:autoSpaceDE w:val="0"/>
        <w:jc w:val="both"/>
        <w:rPr>
          <w:lang w:val="en-GB"/>
        </w:rPr>
      </w:pPr>
      <w:bookmarkStart w:id="84" w:name="_Ref366240205"/>
      <w:r w:rsidRPr="00134D73">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134D73">
        <w:rPr>
          <w:lang w:val="en-GB"/>
        </w:rPr>
        <w:t xml:space="preserve">ECtHR, </w:t>
      </w:r>
      <w:r w:rsidRPr="00134D73">
        <w:rPr>
          <w:i/>
          <w:lang w:val="en-GB"/>
        </w:rPr>
        <w:t>Ahmet Özkan and Others v. Turkey</w:t>
      </w:r>
      <w:r w:rsidRPr="00134D73">
        <w:rPr>
          <w:lang w:val="en-GB"/>
        </w:rPr>
        <w:t xml:space="preserve">, cited in § </w:t>
      </w:r>
      <w:r w:rsidRPr="00134D73">
        <w:fldChar w:fldCharType="begin"/>
      </w:r>
      <w:r w:rsidRPr="00134D73">
        <w:instrText xml:space="preserve"> REF _Ref366240125 \r \h  \* MERGEFORMAT </w:instrText>
      </w:r>
      <w:r w:rsidRPr="00134D73">
        <w:fldChar w:fldCharType="separate"/>
      </w:r>
      <w:r w:rsidR="00AB2ED0" w:rsidRPr="00134D73">
        <w:rPr>
          <w:lang w:val="en-GB"/>
        </w:rPr>
        <w:t>79</w:t>
      </w:r>
      <w:r w:rsidRPr="00134D73">
        <w:fldChar w:fldCharType="end"/>
      </w:r>
      <w:r w:rsidRPr="00134D73">
        <w:rPr>
          <w:lang w:val="en-GB"/>
        </w:rPr>
        <w:t xml:space="preserve"> above, at §§ 311</w:t>
      </w:r>
      <w:r w:rsidRPr="00134D73">
        <w:rPr>
          <w:lang w:val="en-GB"/>
        </w:rPr>
        <w:noBreakHyphen/>
        <w:t xml:space="preserve">314; </w:t>
      </w:r>
      <w:r w:rsidR="00566413" w:rsidRPr="00134D73">
        <w:rPr>
          <w:lang w:val="en-GB"/>
        </w:rPr>
        <w:t xml:space="preserve">ECtHR, </w:t>
      </w:r>
      <w:r w:rsidRPr="00134D73">
        <w:rPr>
          <w:i/>
          <w:lang w:val="en-GB"/>
        </w:rPr>
        <w:t>Isayeva v. Russia</w:t>
      </w:r>
      <w:r w:rsidRPr="00134D73">
        <w:rPr>
          <w:lang w:val="en-GB"/>
        </w:rPr>
        <w:t xml:space="preserve">, cited in § </w:t>
      </w:r>
      <w:r w:rsidRPr="00134D73">
        <w:fldChar w:fldCharType="begin"/>
      </w:r>
      <w:r w:rsidRPr="00134D73">
        <w:instrText xml:space="preserve"> REF _Ref366240125 \r \h  \* MERGEFORMAT </w:instrText>
      </w:r>
      <w:r w:rsidRPr="00134D73">
        <w:fldChar w:fldCharType="separate"/>
      </w:r>
      <w:r w:rsidR="00AB2ED0" w:rsidRPr="00134D73">
        <w:rPr>
          <w:lang w:val="en-GB"/>
        </w:rPr>
        <w:t>79</w:t>
      </w:r>
      <w:r w:rsidRPr="00134D73">
        <w:fldChar w:fldCharType="end"/>
      </w:r>
      <w:r w:rsidRPr="00134D73">
        <w:rPr>
          <w:lang w:val="en-GB"/>
        </w:rPr>
        <w:t xml:space="preserve"> above, §§ 211-214 and the cases cited therein</w:t>
      </w:r>
      <w:r w:rsidR="00566413" w:rsidRPr="00134D73">
        <w:rPr>
          <w:lang w:val="en-GB"/>
        </w:rPr>
        <w:t>;</w:t>
      </w:r>
      <w:r w:rsidRPr="00134D73">
        <w:rPr>
          <w:lang w:val="en-GB"/>
        </w:rPr>
        <w:t xml:space="preserve"> ECtHR [GC], </w:t>
      </w:r>
      <w:r w:rsidRPr="00134D73">
        <w:rPr>
          <w:i/>
          <w:lang w:val="en-GB"/>
        </w:rPr>
        <w:t>Al-Skeini and Others v. United Kingdom</w:t>
      </w:r>
      <w:r w:rsidRPr="00134D73">
        <w:rPr>
          <w:lang w:val="en-GB"/>
        </w:rPr>
        <w:t>, no. 55721/07, judgment of 7 July 2011, § 167, ECHR 2011</w:t>
      </w:r>
      <w:r w:rsidR="00423598" w:rsidRPr="00134D73">
        <w:rPr>
          <w:lang w:val="en-GB"/>
        </w:rPr>
        <w:t xml:space="preserve">, ECtHR [GC], </w:t>
      </w:r>
      <w:proofErr w:type="spellStart"/>
      <w:r w:rsidR="00423598" w:rsidRPr="00134D73">
        <w:rPr>
          <w:i/>
          <w:lang w:val="en-GB"/>
        </w:rPr>
        <w:t>Mocanu</w:t>
      </w:r>
      <w:proofErr w:type="spellEnd"/>
      <w:r w:rsidR="00423598" w:rsidRPr="00134D73">
        <w:rPr>
          <w:i/>
          <w:lang w:val="en-GB"/>
        </w:rPr>
        <w:t xml:space="preserve"> and Others v. Romania</w:t>
      </w:r>
      <w:r w:rsidR="00423598" w:rsidRPr="00134D73">
        <w:rPr>
          <w:lang w:val="en-GB"/>
        </w:rPr>
        <w:t xml:space="preserve">, cited in § </w:t>
      </w:r>
      <w:r w:rsidR="00423598" w:rsidRPr="00134D73">
        <w:rPr>
          <w:lang w:val="en-GB"/>
        </w:rPr>
        <w:fldChar w:fldCharType="begin"/>
      </w:r>
      <w:r w:rsidR="00423598" w:rsidRPr="00134D73">
        <w:rPr>
          <w:lang w:val="en-GB"/>
        </w:rPr>
        <w:instrText xml:space="preserve"> REF _Ref401245061 \r \h  \* MERGEFORMAT </w:instrText>
      </w:r>
      <w:r w:rsidR="00423598" w:rsidRPr="00134D73">
        <w:rPr>
          <w:lang w:val="en-GB"/>
        </w:rPr>
      </w:r>
      <w:r w:rsidR="00423598" w:rsidRPr="00134D73">
        <w:rPr>
          <w:lang w:val="en-GB"/>
        </w:rPr>
        <w:fldChar w:fldCharType="separate"/>
      </w:r>
      <w:r w:rsidR="00AB2ED0" w:rsidRPr="00134D73">
        <w:rPr>
          <w:lang w:val="en-GB"/>
        </w:rPr>
        <w:t>78</w:t>
      </w:r>
      <w:r w:rsidR="00423598" w:rsidRPr="00134D73">
        <w:rPr>
          <w:lang w:val="en-GB"/>
        </w:rPr>
        <w:fldChar w:fldCharType="end"/>
      </w:r>
      <w:r w:rsidR="00423598" w:rsidRPr="00134D73">
        <w:rPr>
          <w:lang w:val="en-GB"/>
        </w:rPr>
        <w:t xml:space="preserve"> above, at § 324</w:t>
      </w:r>
      <w:r w:rsidRPr="00134D73">
        <w:rPr>
          <w:lang w:val="en-GB"/>
        </w:rPr>
        <w:t>).</w:t>
      </w:r>
      <w:bookmarkEnd w:id="83"/>
      <w:bookmarkEnd w:id="84"/>
    </w:p>
    <w:p w:rsidR="002437E9" w:rsidRPr="00134D73" w:rsidRDefault="002437E9" w:rsidP="002437E9">
      <w:pPr>
        <w:pStyle w:val="ListParagraph"/>
        <w:rPr>
          <w:lang w:val="en-GB"/>
        </w:rPr>
      </w:pPr>
    </w:p>
    <w:p w:rsidR="003E3F85" w:rsidRPr="00134D73" w:rsidRDefault="002437E9" w:rsidP="002437E9">
      <w:pPr>
        <w:numPr>
          <w:ilvl w:val="0"/>
          <w:numId w:val="2"/>
        </w:numPr>
        <w:tabs>
          <w:tab w:val="left" w:pos="709"/>
        </w:tabs>
        <w:suppressAutoHyphens/>
        <w:autoSpaceDE w:val="0"/>
        <w:jc w:val="both"/>
        <w:rPr>
          <w:lang w:val="en-GB"/>
        </w:rPr>
      </w:pPr>
      <w:r w:rsidRPr="00134D73">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134D73">
        <w:rPr>
          <w:lang w:val="en-GB"/>
        </w:rPr>
        <w:t xml:space="preserve">ECtHR, </w:t>
      </w:r>
      <w:r w:rsidR="00A56D97" w:rsidRPr="00134D73">
        <w:rPr>
          <w:i/>
          <w:iCs/>
          <w:lang w:val="en-GB"/>
        </w:rPr>
        <w:t>El-Masri v. “t</w:t>
      </w:r>
      <w:r w:rsidR="00713D84" w:rsidRPr="00134D73">
        <w:rPr>
          <w:i/>
          <w:iCs/>
          <w:lang w:val="en-GB"/>
        </w:rPr>
        <w:t>he f</w:t>
      </w:r>
      <w:r w:rsidR="00423598" w:rsidRPr="00134D73">
        <w:rPr>
          <w:i/>
          <w:iCs/>
          <w:lang w:val="en-GB"/>
        </w:rPr>
        <w:t>ormer Yugoslav Republic of Macedonia”</w:t>
      </w:r>
      <w:r w:rsidR="00423598" w:rsidRPr="00134D73">
        <w:rPr>
          <w:lang w:val="en-GB"/>
        </w:rPr>
        <w:t xml:space="preserve">, cited in § </w:t>
      </w:r>
      <w:r w:rsidR="00423598" w:rsidRPr="00134D73">
        <w:rPr>
          <w:lang w:val="en-GB"/>
        </w:rPr>
        <w:fldChar w:fldCharType="begin"/>
      </w:r>
      <w:r w:rsidR="00423598" w:rsidRPr="00134D73">
        <w:rPr>
          <w:lang w:val="en-GB"/>
        </w:rPr>
        <w:instrText xml:space="preserve"> REF _Ref401245516 \r \h  \* MERGEFORMAT </w:instrText>
      </w:r>
      <w:r w:rsidR="00423598" w:rsidRPr="00134D73">
        <w:rPr>
          <w:lang w:val="en-GB"/>
        </w:rPr>
      </w:r>
      <w:r w:rsidR="00423598" w:rsidRPr="00134D73">
        <w:rPr>
          <w:lang w:val="en-GB"/>
        </w:rPr>
        <w:fldChar w:fldCharType="separate"/>
      </w:r>
      <w:r w:rsidR="00AB2ED0" w:rsidRPr="00134D73">
        <w:rPr>
          <w:lang w:val="en-GB"/>
        </w:rPr>
        <w:t>81</w:t>
      </w:r>
      <w:r w:rsidR="00423598" w:rsidRPr="00134D73">
        <w:rPr>
          <w:lang w:val="en-GB"/>
        </w:rPr>
        <w:fldChar w:fldCharType="end"/>
      </w:r>
      <w:r w:rsidR="00423598" w:rsidRPr="00134D73">
        <w:rPr>
          <w:lang w:val="en-GB"/>
        </w:rPr>
        <w:t xml:space="preserve"> above, § 191</w:t>
      </w:r>
      <w:r w:rsidRPr="00134D73">
        <w:rPr>
          <w:lang w:val="en-GB"/>
        </w:rPr>
        <w:t xml:space="preserve">; ECtHR, </w:t>
      </w:r>
      <w:r w:rsidRPr="00134D73">
        <w:rPr>
          <w:i/>
          <w:iCs/>
          <w:lang w:val="en-GB"/>
        </w:rPr>
        <w:t>Al Nashiri v. Poland</w:t>
      </w:r>
      <w:r w:rsidRPr="00134D73">
        <w:rPr>
          <w:lang w:val="en-GB"/>
        </w:rPr>
        <w:t xml:space="preserve">, no. 28761/11, judgment of 24 July 2014, §§ 495-496). </w:t>
      </w:r>
      <w:r w:rsidRPr="00134D73">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t>
      </w:r>
      <w:r w:rsidR="00A56D97" w:rsidRPr="00134D73">
        <w:t>whereabouts of the victim” (</w:t>
      </w:r>
      <w:r w:rsidRPr="00134D73">
        <w:t>Report of the UN Secretary-General, Missing Persons, UN Document A/67/267, 8 August 2012, § 5;</w:t>
      </w:r>
      <w:r w:rsidR="008655B9" w:rsidRPr="00134D73">
        <w:t xml:space="preserve"> see also HRC,  </w:t>
      </w:r>
      <w:r w:rsidRPr="00134D73">
        <w:rPr>
          <w:i/>
          <w:iCs/>
        </w:rPr>
        <w:t>Schedko and Bondarenko v. Belarus</w:t>
      </w:r>
      <w:r w:rsidRPr="00134D73">
        <w:t xml:space="preserve">, Communication no. 886/1999, views of 3 April 2003, § 10.2, CCPR/C/77/D/886/1999; HRC, </w:t>
      </w:r>
      <w:r w:rsidRPr="00134D73">
        <w:rPr>
          <w:i/>
          <w:iCs/>
        </w:rPr>
        <w:t>Mariam, Philippe, Auguste and Thomas Sankara</w:t>
      </w:r>
      <w:r w:rsidRPr="00E879A0">
        <w:rPr>
          <w:i/>
          <w:iCs/>
        </w:rPr>
        <w:t xml:space="preserve"> v. Burkina Faso</w:t>
      </w:r>
      <w:r w:rsidRPr="00E879A0">
        <w:t>, Communication no. 1159/2003, views of 8 March 2006</w:t>
      </w:r>
      <w:r w:rsidRPr="00E879A0">
        <w:rPr>
          <w:color w:val="000000"/>
          <w:sz w:val="27"/>
          <w:szCs w:val="27"/>
          <w:shd w:val="clear" w:color="auto" w:fill="FFFFFF"/>
        </w:rPr>
        <w:t xml:space="preserve">, </w:t>
      </w:r>
      <w:r w:rsidRPr="00E879A0">
        <w:t xml:space="preserve">§ 10.2, CCPR/C/86/D/1159/2003; UN Human Rights Council, Resolutions 9/11 </w:t>
      </w:r>
      <w:r w:rsidRPr="00E879A0">
        <w:lastRenderedPageBreak/>
        <w:t xml:space="preserve">and 12/12: Right to the </w:t>
      </w:r>
      <w:r w:rsidRPr="00E879A0">
        <w:rPr>
          <w:lang w:val="en-GB"/>
        </w:rPr>
        <w:t>Truth</w:t>
      </w:r>
      <w:r w:rsidRPr="00E879A0">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E879A0">
        <w:rPr>
          <w:i/>
          <w:iCs/>
        </w:rPr>
        <w:t xml:space="preserve">Framework Principles for securing the accountability of public officials </w:t>
      </w:r>
      <w:r w:rsidRPr="00134D73">
        <w:rPr>
          <w:i/>
          <w:iCs/>
        </w:rPr>
        <w:t>for gross and systematic human rights violations committed in the context of State counter-terrorist initiatives</w:t>
      </w:r>
      <w:r w:rsidRPr="00134D73">
        <w:t>, UN Document A/HRC/22/52, 1 March 2013, § 23-26).</w:t>
      </w:r>
    </w:p>
    <w:p w:rsidR="002C60F4" w:rsidRPr="00134D73" w:rsidRDefault="002C60F4" w:rsidP="002437E9">
      <w:pPr>
        <w:tabs>
          <w:tab w:val="left" w:pos="709"/>
        </w:tabs>
        <w:suppressAutoHyphens/>
        <w:autoSpaceDE w:val="0"/>
        <w:ind w:left="360"/>
        <w:jc w:val="both"/>
        <w:rPr>
          <w:lang w:val="en-GB"/>
        </w:rPr>
      </w:pPr>
    </w:p>
    <w:p w:rsidR="003E3F85" w:rsidRPr="00134D73" w:rsidRDefault="003E3F85" w:rsidP="003E3F85">
      <w:pPr>
        <w:pStyle w:val="ListParagraph"/>
        <w:numPr>
          <w:ilvl w:val="0"/>
          <w:numId w:val="7"/>
        </w:numPr>
        <w:contextualSpacing/>
        <w:jc w:val="both"/>
        <w:rPr>
          <w:i/>
          <w:lang w:val="en-GB" w:eastAsia="en-US"/>
        </w:rPr>
      </w:pPr>
      <w:r w:rsidRPr="00134D73">
        <w:rPr>
          <w:i/>
          <w:lang w:val="en-GB"/>
        </w:rPr>
        <w:t>Applicability</w:t>
      </w:r>
      <w:r w:rsidRPr="00134D73">
        <w:rPr>
          <w:i/>
          <w:lang w:val="en-GB" w:eastAsia="en-US"/>
        </w:rPr>
        <w:t xml:space="preserve"> of Article 2 to the Kosovo context</w:t>
      </w:r>
    </w:p>
    <w:p w:rsidR="003E3F85" w:rsidRPr="00134D73" w:rsidRDefault="003E3F85" w:rsidP="003E3F85">
      <w:pPr>
        <w:pStyle w:val="ListParagraph"/>
        <w:tabs>
          <w:tab w:val="num" w:pos="567"/>
        </w:tabs>
        <w:ind w:left="567" w:hanging="425"/>
        <w:rPr>
          <w:lang w:val="en-GB" w:eastAsia="en-US"/>
        </w:rPr>
      </w:pPr>
    </w:p>
    <w:p w:rsidR="003E3F85" w:rsidRPr="00134D73" w:rsidRDefault="003E3F85" w:rsidP="003E3F85">
      <w:pPr>
        <w:numPr>
          <w:ilvl w:val="0"/>
          <w:numId w:val="2"/>
        </w:numPr>
        <w:tabs>
          <w:tab w:val="left" w:pos="709"/>
        </w:tabs>
        <w:suppressAutoHyphens/>
        <w:autoSpaceDE w:val="0"/>
        <w:jc w:val="both"/>
        <w:rPr>
          <w:lang w:val="en-GB"/>
        </w:rPr>
      </w:pPr>
      <w:bookmarkStart w:id="85" w:name="_Ref366163783"/>
      <w:r w:rsidRPr="00134D73">
        <w:rPr>
          <w:lang w:val="en-GB"/>
        </w:rPr>
        <w:t xml:space="preserve">The Panel is conscious that </w:t>
      </w:r>
      <w:r w:rsidR="00833CCC" w:rsidRPr="00134D73">
        <w:rPr>
          <w:lang w:val="en-GB"/>
        </w:rPr>
        <w:t xml:space="preserve">Mrs </w:t>
      </w:r>
      <w:proofErr w:type="spellStart"/>
      <w:r w:rsidR="00833CCC" w:rsidRPr="00134D73">
        <w:rPr>
          <w:lang w:val="en-GB"/>
        </w:rPr>
        <w:t>Slavka</w:t>
      </w:r>
      <w:proofErr w:type="spellEnd"/>
      <w:r w:rsidR="00833CCC" w:rsidRPr="00134D73">
        <w:rPr>
          <w:lang w:val="en-GB"/>
        </w:rPr>
        <w:t xml:space="preserve"> </w:t>
      </w:r>
      <w:proofErr w:type="spellStart"/>
      <w:r w:rsidR="00833CCC" w:rsidRPr="00134D73">
        <w:rPr>
          <w:lang w:val="en-GB"/>
        </w:rPr>
        <w:t>Pantović</w:t>
      </w:r>
      <w:proofErr w:type="spellEnd"/>
      <w:r w:rsidR="00833CCC" w:rsidRPr="00134D73">
        <w:rPr>
          <w:lang w:val="en-GB"/>
        </w:rPr>
        <w:t xml:space="preserve">, Mr </w:t>
      </w:r>
      <w:proofErr w:type="spellStart"/>
      <w:r w:rsidR="00833CCC" w:rsidRPr="00134D73">
        <w:rPr>
          <w:lang w:val="en-GB"/>
        </w:rPr>
        <w:t>Milić</w:t>
      </w:r>
      <w:proofErr w:type="spellEnd"/>
      <w:r w:rsidR="00833CCC" w:rsidRPr="00134D73">
        <w:rPr>
          <w:lang w:val="en-GB"/>
        </w:rPr>
        <w:t xml:space="preserve"> </w:t>
      </w:r>
      <w:proofErr w:type="spellStart"/>
      <w:r w:rsidR="00833CCC" w:rsidRPr="00134D73">
        <w:rPr>
          <w:lang w:val="en-GB"/>
        </w:rPr>
        <w:t>Pantović</w:t>
      </w:r>
      <w:proofErr w:type="spellEnd"/>
      <w:r w:rsidR="00833CCC" w:rsidRPr="00134D73">
        <w:rPr>
          <w:lang w:val="en-GB"/>
        </w:rPr>
        <w:t xml:space="preserve"> and Mrs </w:t>
      </w:r>
      <w:proofErr w:type="spellStart"/>
      <w:r w:rsidR="00833CCC" w:rsidRPr="00134D73">
        <w:rPr>
          <w:lang w:val="en-GB"/>
        </w:rPr>
        <w:t>Mileva</w:t>
      </w:r>
      <w:proofErr w:type="spellEnd"/>
      <w:r w:rsidR="00833CCC" w:rsidRPr="00134D73">
        <w:rPr>
          <w:lang w:val="en-GB"/>
        </w:rPr>
        <w:t xml:space="preserve"> </w:t>
      </w:r>
      <w:proofErr w:type="spellStart"/>
      <w:r w:rsidR="00A3533C" w:rsidRPr="00134D73">
        <w:rPr>
          <w:lang w:val="en-GB"/>
        </w:rPr>
        <w:t>Pantović</w:t>
      </w:r>
      <w:proofErr w:type="spellEnd"/>
      <w:r w:rsidR="007D0DD0" w:rsidRPr="00134D73">
        <w:rPr>
          <w:lang w:val="en-GB"/>
        </w:rPr>
        <w:t xml:space="preserve"> </w:t>
      </w:r>
      <w:r w:rsidR="00AD7F08" w:rsidRPr="00134D73">
        <w:rPr>
          <w:lang w:val="en-GB"/>
        </w:rPr>
        <w:t xml:space="preserve">disappeared </w:t>
      </w:r>
      <w:r w:rsidR="00E92DED" w:rsidRPr="00134D73">
        <w:rPr>
          <w:lang w:val="en-GB"/>
        </w:rPr>
        <w:t>shortly after</w:t>
      </w:r>
      <w:r w:rsidR="003A658C" w:rsidRPr="00134D73">
        <w:rPr>
          <w:lang w:val="en-GB"/>
        </w:rPr>
        <w:t xml:space="preserve"> </w:t>
      </w:r>
      <w:r w:rsidRPr="00134D73">
        <w:rPr>
          <w:lang w:val="en-GB"/>
        </w:rPr>
        <w:t>the deployment of UNMIK in Kosovo, when crime, violence and insecurity were rife.</w:t>
      </w:r>
      <w:bookmarkEnd w:id="85"/>
    </w:p>
    <w:p w:rsidR="003E3F85" w:rsidRPr="00134D73" w:rsidRDefault="003E3F85" w:rsidP="003E3F85">
      <w:pPr>
        <w:pStyle w:val="ListParagraph"/>
        <w:ind w:left="567"/>
        <w:contextualSpacing/>
        <w:jc w:val="both"/>
        <w:rPr>
          <w:lang w:val="en-GB" w:eastAsia="en-US"/>
        </w:rPr>
      </w:pPr>
    </w:p>
    <w:p w:rsidR="003E3F85" w:rsidRPr="00134D73" w:rsidRDefault="003E3F85" w:rsidP="003E3F85">
      <w:pPr>
        <w:numPr>
          <w:ilvl w:val="0"/>
          <w:numId w:val="2"/>
        </w:numPr>
        <w:tabs>
          <w:tab w:val="left" w:pos="709"/>
        </w:tabs>
        <w:suppressAutoHyphens/>
        <w:autoSpaceDE w:val="0"/>
        <w:jc w:val="both"/>
        <w:rPr>
          <w:lang w:val="en-GB"/>
        </w:rPr>
      </w:pPr>
      <w:r w:rsidRPr="00134D73">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134D73" w:rsidRDefault="003E3F85" w:rsidP="003E3F85">
      <w:pPr>
        <w:pStyle w:val="ListParagraph"/>
        <w:ind w:left="567"/>
        <w:contextualSpacing/>
        <w:jc w:val="both"/>
        <w:rPr>
          <w:lang w:val="en-GB" w:eastAsia="en-US"/>
        </w:rPr>
      </w:pPr>
    </w:p>
    <w:p w:rsidR="003E3F85" w:rsidRPr="00134D73" w:rsidRDefault="003E3F85" w:rsidP="003E3F85">
      <w:pPr>
        <w:numPr>
          <w:ilvl w:val="0"/>
          <w:numId w:val="2"/>
        </w:numPr>
        <w:tabs>
          <w:tab w:val="left" w:pos="709"/>
        </w:tabs>
        <w:suppressAutoHyphens/>
        <w:autoSpaceDE w:val="0"/>
        <w:jc w:val="both"/>
        <w:rPr>
          <w:lang w:val="en-GB"/>
        </w:rPr>
      </w:pPr>
      <w:r w:rsidRPr="00134D73">
        <w:rPr>
          <w:lang w:val="en-GB"/>
        </w:rPr>
        <w:t xml:space="preserve">The </w:t>
      </w:r>
      <w:r w:rsidRPr="00134D73">
        <w:rPr>
          <w:lang w:val="en-GB" w:eastAsia="nl-BE"/>
        </w:rPr>
        <w:t>Panel</w:t>
      </w:r>
      <w:r w:rsidRPr="00134D73">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134D73" w:rsidRDefault="003E3F85" w:rsidP="003E3F85">
      <w:pPr>
        <w:pStyle w:val="ListParagraph"/>
        <w:ind w:left="567" w:hanging="425"/>
        <w:rPr>
          <w:lang w:val="en-GB" w:eastAsia="en-US"/>
        </w:rPr>
      </w:pPr>
    </w:p>
    <w:p w:rsidR="003E3F85" w:rsidRPr="00134D73" w:rsidRDefault="003E3F85" w:rsidP="003E3F85">
      <w:pPr>
        <w:numPr>
          <w:ilvl w:val="0"/>
          <w:numId w:val="2"/>
        </w:numPr>
        <w:tabs>
          <w:tab w:val="left" w:pos="709"/>
        </w:tabs>
        <w:suppressAutoHyphens/>
        <w:autoSpaceDE w:val="0"/>
        <w:jc w:val="both"/>
        <w:rPr>
          <w:lang w:val="en-GB"/>
        </w:rPr>
      </w:pPr>
      <w:r w:rsidRPr="00134D73">
        <w:rPr>
          <w:lang w:val="en-GB"/>
        </w:rPr>
        <w:t xml:space="preserve">As regards </w:t>
      </w:r>
      <w:r w:rsidRPr="00134D73">
        <w:t>t</w:t>
      </w:r>
      <w:r w:rsidRPr="00134D73">
        <w:rPr>
          <w:lang w:val="en-GB"/>
        </w:rPr>
        <w:t xml:space="preserve">he applicability of Article 2 to UNMIK, the Panel recalls </w:t>
      </w:r>
      <w:r w:rsidRPr="00134D73">
        <w:rPr>
          <w:lang w:val="en-GB" w:eastAsia="nl-BE"/>
        </w:rPr>
        <w:t xml:space="preserve">that with the adoption of the UNMIK Regulation No. 1999/1 on 25 July 1999 UNMIK undertook an obligation to observe internationally recognised human rights standards in exercising its </w:t>
      </w:r>
      <w:r w:rsidRPr="00134D73">
        <w:rPr>
          <w:lang w:val="en-GB"/>
        </w:rPr>
        <w:t>functions</w:t>
      </w:r>
      <w:r w:rsidRPr="00134D73">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134D73">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34D73">
        <w:rPr>
          <w:i/>
          <w:lang w:val="en-GB"/>
        </w:rPr>
        <w:t>Milogorić</w:t>
      </w:r>
      <w:r w:rsidRPr="00134D73">
        <w:rPr>
          <w:lang w:val="en-GB"/>
        </w:rPr>
        <w:t xml:space="preserve"> </w:t>
      </w:r>
      <w:r w:rsidRPr="00134D73">
        <w:rPr>
          <w:i/>
          <w:lang w:val="en-GB"/>
        </w:rPr>
        <w:t>and Others,</w:t>
      </w:r>
      <w:r w:rsidRPr="00134D73">
        <w:rPr>
          <w:lang w:val="en-GB"/>
        </w:rPr>
        <w:t xml:space="preserve"> nos. 38/08 and others, opinion of 24 March 2011, § 44; </w:t>
      </w:r>
      <w:r w:rsidRPr="00134D73">
        <w:rPr>
          <w:i/>
          <w:lang w:val="en-GB"/>
        </w:rPr>
        <w:t>Berisha and Others,</w:t>
      </w:r>
      <w:r w:rsidRPr="00134D73">
        <w:rPr>
          <w:lang w:val="en-GB"/>
        </w:rPr>
        <w:t xml:space="preserve"> nos. 27/08 and others, opinion of 23 February 2011,</w:t>
      </w:r>
      <w:r w:rsidRPr="00134D73">
        <w:rPr>
          <w:i/>
          <w:lang w:val="en-GB"/>
        </w:rPr>
        <w:t xml:space="preserve"> </w:t>
      </w:r>
      <w:r w:rsidRPr="00134D73">
        <w:rPr>
          <w:lang w:val="en-GB"/>
        </w:rPr>
        <w:t xml:space="preserve">§ 25; </w:t>
      </w:r>
      <w:r w:rsidRPr="00134D73">
        <w:rPr>
          <w:i/>
          <w:lang w:val="en-GB"/>
        </w:rPr>
        <w:t>Lalić and Others</w:t>
      </w:r>
      <w:r w:rsidRPr="00134D73">
        <w:rPr>
          <w:lang w:val="en-GB"/>
        </w:rPr>
        <w:t>, nos. 09/08 and others, opinion of 9 June 2012, § 22).</w:t>
      </w:r>
    </w:p>
    <w:p w:rsidR="003E3F85" w:rsidRPr="00134D73" w:rsidRDefault="003E3F85" w:rsidP="003E3F85">
      <w:pPr>
        <w:pStyle w:val="ListParagraph"/>
        <w:rPr>
          <w:lang w:val="en-GB"/>
        </w:rPr>
      </w:pPr>
    </w:p>
    <w:p w:rsidR="003E3F85" w:rsidRPr="00134D73" w:rsidRDefault="003E3F85" w:rsidP="003E3F85">
      <w:pPr>
        <w:numPr>
          <w:ilvl w:val="0"/>
          <w:numId w:val="2"/>
        </w:numPr>
        <w:tabs>
          <w:tab w:val="left" w:pos="709"/>
        </w:tabs>
        <w:suppressAutoHyphens/>
        <w:autoSpaceDE w:val="0"/>
        <w:jc w:val="both"/>
        <w:rPr>
          <w:lang w:val="en-GB"/>
        </w:rPr>
      </w:pPr>
      <w:bookmarkStart w:id="86" w:name="_Ref366241246"/>
      <w:r w:rsidRPr="00134D73">
        <w:rPr>
          <w:lang w:val="en-GB"/>
        </w:rPr>
        <w:t xml:space="preserve">Concerning the applicability of Article 2 to situations of conflict or generalised violence, the Panel </w:t>
      </w:r>
      <w:r w:rsidRPr="00134D73">
        <w:t>recalls</w:t>
      </w:r>
      <w:r w:rsidRPr="00134D73">
        <w:rPr>
          <w:lang w:val="en-GB"/>
        </w:rPr>
        <w:t xml:space="preserve"> that the European Court of Human Rights has established the applicability of Article 2 to post-conflict situations, including in countries of the former Yugoslavia (see, among other examples, ECtHR, </w:t>
      </w:r>
      <w:r w:rsidRPr="00134D73">
        <w:rPr>
          <w:i/>
          <w:lang w:val="en-GB"/>
        </w:rPr>
        <w:t>Palić v. Bosnia and Herzegovina,</w:t>
      </w:r>
      <w:r w:rsidRPr="00134D73">
        <w:rPr>
          <w:lang w:val="en-GB"/>
        </w:rPr>
        <w:t xml:space="preserve"> cited in § </w:t>
      </w:r>
      <w:r w:rsidRPr="00134D73">
        <w:fldChar w:fldCharType="begin"/>
      </w:r>
      <w:r w:rsidRPr="00134D73">
        <w:instrText xml:space="preserve"> REF _Ref366239979 \r \h  \* MERGEFORMAT </w:instrText>
      </w:r>
      <w:r w:rsidRPr="00134D73">
        <w:fldChar w:fldCharType="separate"/>
      </w:r>
      <w:r w:rsidR="00AB2ED0" w:rsidRPr="00134D73">
        <w:rPr>
          <w:lang w:val="en-GB"/>
        </w:rPr>
        <w:t>80</w:t>
      </w:r>
      <w:r w:rsidRPr="00134D73">
        <w:fldChar w:fldCharType="end"/>
      </w:r>
      <w:r w:rsidRPr="00134D73">
        <w:rPr>
          <w:lang w:val="en-GB"/>
        </w:rPr>
        <w:t xml:space="preserve"> above, and ECtHR, </w:t>
      </w:r>
      <w:r w:rsidRPr="00134D73">
        <w:rPr>
          <w:i/>
          <w:lang w:val="en-GB"/>
        </w:rPr>
        <w:t>Jularić v. Croatia</w:t>
      </w:r>
      <w:r w:rsidRPr="00134D73">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134D73">
        <w:rPr>
          <w:i/>
          <w:lang w:val="en-GB"/>
        </w:rPr>
        <w:t xml:space="preserve">Al-Skeini </w:t>
      </w:r>
      <w:r w:rsidRPr="00134D73">
        <w:rPr>
          <w:i/>
          <w:lang w:val="en-GB"/>
        </w:rPr>
        <w:lastRenderedPageBreak/>
        <w:t>and Others v. the United Kingdom</w:t>
      </w:r>
      <w:r w:rsidRPr="00134D73">
        <w:rPr>
          <w:lang w:val="en-GB"/>
        </w:rPr>
        <w:t xml:space="preserve">, cited in § </w:t>
      </w:r>
      <w:r w:rsidRPr="00134D73">
        <w:fldChar w:fldCharType="begin"/>
      </w:r>
      <w:r w:rsidRPr="00134D73">
        <w:instrText xml:space="preserve"> REF _Ref366240205 \r \h  \* MERGEFORMAT </w:instrText>
      </w:r>
      <w:r w:rsidRPr="00134D73">
        <w:fldChar w:fldCharType="separate"/>
      </w:r>
      <w:r w:rsidR="00AB2ED0" w:rsidRPr="00134D73">
        <w:rPr>
          <w:lang w:val="en-GB"/>
        </w:rPr>
        <w:t>84</w:t>
      </w:r>
      <w:r w:rsidRPr="00134D73">
        <w:fldChar w:fldCharType="end"/>
      </w:r>
      <w:r w:rsidRPr="00134D73">
        <w:rPr>
          <w:lang w:val="en-GB"/>
        </w:rPr>
        <w:t xml:space="preserve"> above, at § 164; see also ECtHR, </w:t>
      </w:r>
      <w:r w:rsidRPr="00134D73">
        <w:rPr>
          <w:i/>
          <w:lang w:val="en-GB"/>
        </w:rPr>
        <w:t>Güleç v. Turkey</w:t>
      </w:r>
      <w:r w:rsidRPr="00134D73">
        <w:rPr>
          <w:lang w:val="en-GB"/>
        </w:rPr>
        <w:t>, judgment of 27 July 1998, § 81, Reports 1998-IV; ECtHR,</w:t>
      </w:r>
      <w:r w:rsidRPr="00134D73">
        <w:rPr>
          <w:i/>
          <w:lang w:val="en-GB"/>
        </w:rPr>
        <w:t xml:space="preserve"> Ergi v. Turkey</w:t>
      </w:r>
      <w:r w:rsidRPr="00134D73">
        <w:rPr>
          <w:lang w:val="en-GB"/>
        </w:rPr>
        <w:t>, judgment of 28 July 1998, §§ 79 and 82, Reports 1998-IV; ECtHR,</w:t>
      </w:r>
      <w:r w:rsidRPr="00134D73">
        <w:rPr>
          <w:i/>
          <w:lang w:val="en-GB"/>
        </w:rPr>
        <w:t xml:space="preserve"> Ahmet Özkan and Others v. Turkey</w:t>
      </w:r>
      <w:r w:rsidRPr="00134D73">
        <w:rPr>
          <w:lang w:val="en-GB"/>
        </w:rPr>
        <w:t xml:space="preserve">, cited in § </w:t>
      </w:r>
      <w:r w:rsidRPr="00134D73">
        <w:fldChar w:fldCharType="begin"/>
      </w:r>
      <w:r w:rsidRPr="00134D73">
        <w:instrText xml:space="preserve"> REF _Ref366240125 \r \h  \* MERGEFORMAT </w:instrText>
      </w:r>
      <w:r w:rsidRPr="00134D73">
        <w:fldChar w:fldCharType="separate"/>
      </w:r>
      <w:r w:rsidR="00AB2ED0" w:rsidRPr="00134D73">
        <w:rPr>
          <w:lang w:val="en-GB"/>
        </w:rPr>
        <w:t>79</w:t>
      </w:r>
      <w:r w:rsidRPr="00134D73">
        <w:fldChar w:fldCharType="end"/>
      </w:r>
      <w:r w:rsidRPr="00134D73">
        <w:rPr>
          <w:lang w:val="en-GB"/>
        </w:rPr>
        <w:t xml:space="preserve"> above, at §§ 85-90, 309-320 and 326-330;</w:t>
      </w:r>
      <w:r w:rsidRPr="00134D73">
        <w:rPr>
          <w:i/>
          <w:lang w:val="en-GB"/>
        </w:rPr>
        <w:t xml:space="preserve"> </w:t>
      </w:r>
      <w:r w:rsidR="00B41BE6" w:rsidRPr="00134D73">
        <w:rPr>
          <w:lang w:val="en-GB"/>
        </w:rPr>
        <w:t xml:space="preserve">ECtHR, </w:t>
      </w:r>
      <w:r w:rsidRPr="00134D73">
        <w:rPr>
          <w:i/>
          <w:lang w:val="en-GB"/>
        </w:rPr>
        <w:t>Isayeva v. Russia</w:t>
      </w:r>
      <w:r w:rsidRPr="00134D73">
        <w:rPr>
          <w:lang w:val="en-GB"/>
        </w:rPr>
        <w:t xml:space="preserve">, cited in § </w:t>
      </w:r>
      <w:r w:rsidRPr="00134D73">
        <w:fldChar w:fldCharType="begin"/>
      </w:r>
      <w:r w:rsidRPr="00134D73">
        <w:instrText xml:space="preserve"> REF _Ref366240125 \r \h  \* MERGEFORMAT </w:instrText>
      </w:r>
      <w:r w:rsidRPr="00134D73">
        <w:fldChar w:fldCharType="separate"/>
      </w:r>
      <w:r w:rsidR="00AB2ED0" w:rsidRPr="00134D73">
        <w:rPr>
          <w:lang w:val="en-GB"/>
        </w:rPr>
        <w:t>79</w:t>
      </w:r>
      <w:r w:rsidRPr="00134D73">
        <w:fldChar w:fldCharType="end"/>
      </w:r>
      <w:r w:rsidRPr="00134D73">
        <w:rPr>
          <w:lang w:val="en-GB"/>
        </w:rPr>
        <w:t xml:space="preserve"> above, at §§ 180 and 210; ECtHR, </w:t>
      </w:r>
      <w:r w:rsidRPr="00134D73">
        <w:rPr>
          <w:i/>
          <w:lang w:val="en-GB"/>
        </w:rPr>
        <w:t>Kanlibaş v. Turkey</w:t>
      </w:r>
      <w:r w:rsidRPr="00134D73">
        <w:rPr>
          <w:lang w:val="en-GB"/>
        </w:rPr>
        <w:t>, no. 32444/96, judgment of 8 December 2005, §§ 39-51).</w:t>
      </w:r>
      <w:bookmarkEnd w:id="86"/>
      <w:r w:rsidRPr="00134D73">
        <w:rPr>
          <w:lang w:val="en-GB"/>
        </w:rPr>
        <w:t xml:space="preserve"> </w:t>
      </w:r>
    </w:p>
    <w:p w:rsidR="003E3F85" w:rsidRPr="00134D73" w:rsidRDefault="003E3F85" w:rsidP="003E3F85">
      <w:pPr>
        <w:pStyle w:val="ListParagraph"/>
        <w:suppressAutoHyphens w:val="0"/>
        <w:ind w:left="567"/>
        <w:contextualSpacing/>
        <w:jc w:val="both"/>
        <w:rPr>
          <w:lang w:val="en-GB" w:eastAsia="en-US"/>
        </w:rPr>
      </w:pPr>
    </w:p>
    <w:p w:rsidR="003E3F85" w:rsidRPr="00134D73" w:rsidRDefault="003E3F85" w:rsidP="003E3F85">
      <w:pPr>
        <w:numPr>
          <w:ilvl w:val="0"/>
          <w:numId w:val="2"/>
        </w:numPr>
        <w:tabs>
          <w:tab w:val="left" w:pos="709"/>
        </w:tabs>
        <w:suppressAutoHyphens/>
        <w:autoSpaceDE w:val="0"/>
        <w:jc w:val="both"/>
        <w:rPr>
          <w:lang w:val="en-GB"/>
        </w:rPr>
      </w:pPr>
      <w:bookmarkStart w:id="87" w:name="_Ref366241459"/>
      <w:r w:rsidRPr="00134D73">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134D73">
        <w:t>may</w:t>
      </w:r>
      <w:r w:rsidRPr="00134D73">
        <w:rPr>
          <w:lang w:val="en-GB"/>
        </w:rPr>
        <w:t xml:space="preserve"> compel the use of less effective measures of investigation or may cause an in</w:t>
      </w:r>
      <w:r w:rsidR="00A56D97" w:rsidRPr="00134D73">
        <w:rPr>
          <w:lang w:val="en-GB"/>
        </w:rPr>
        <w:t>vestigation to be delayed” (</w:t>
      </w:r>
      <w:r w:rsidRPr="00134D73">
        <w:rPr>
          <w:lang w:val="en-GB"/>
        </w:rPr>
        <w:t xml:space="preserve">ECtHR [GC], </w:t>
      </w:r>
      <w:r w:rsidRPr="00134D73">
        <w:rPr>
          <w:i/>
          <w:lang w:val="en-GB"/>
        </w:rPr>
        <w:t xml:space="preserve">Al-Skeini and Others v. the United Kingdom, </w:t>
      </w:r>
      <w:r w:rsidRPr="00134D73">
        <w:rPr>
          <w:lang w:val="en-GB"/>
        </w:rPr>
        <w:t>cited above, at §164;</w:t>
      </w:r>
      <w:r w:rsidRPr="00134D73">
        <w:rPr>
          <w:i/>
          <w:lang w:val="en-GB"/>
        </w:rPr>
        <w:t xml:space="preserve"> </w:t>
      </w:r>
      <w:r w:rsidRPr="00134D73">
        <w:rPr>
          <w:lang w:val="en-GB"/>
        </w:rPr>
        <w:t>ECtHR,</w:t>
      </w:r>
      <w:r w:rsidRPr="00134D73">
        <w:rPr>
          <w:i/>
          <w:lang w:val="en-GB"/>
        </w:rPr>
        <w:t xml:space="preserve"> Bazorkina v. Russia</w:t>
      </w:r>
      <w:r w:rsidRPr="00134D73">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34D73">
        <w:rPr>
          <w:i/>
          <w:lang w:val="en-GB"/>
        </w:rPr>
        <w:t>Kaya v. Turkey</w:t>
      </w:r>
      <w:r w:rsidRPr="00134D73">
        <w:rPr>
          <w:lang w:val="en-GB"/>
        </w:rPr>
        <w:t xml:space="preserve">, cited in § </w:t>
      </w:r>
      <w:r w:rsidRPr="00134D73">
        <w:fldChar w:fldCharType="begin"/>
      </w:r>
      <w:r w:rsidRPr="00134D73">
        <w:instrText xml:space="preserve"> REF _Ref366239860 \r \h  \* MERGEFORMAT </w:instrText>
      </w:r>
      <w:r w:rsidRPr="00134D73">
        <w:fldChar w:fldCharType="separate"/>
      </w:r>
      <w:r w:rsidR="00AB2ED0" w:rsidRPr="00134D73">
        <w:rPr>
          <w:lang w:val="en-GB"/>
        </w:rPr>
        <w:t>77</w:t>
      </w:r>
      <w:r w:rsidRPr="00134D73">
        <w:fldChar w:fldCharType="end"/>
      </w:r>
      <w:r w:rsidRPr="00134D73">
        <w:rPr>
          <w:lang w:val="en-GB"/>
        </w:rPr>
        <w:t xml:space="preserve"> above, at §§ 86</w:t>
      </w:r>
      <w:r w:rsidRPr="00134D73">
        <w:rPr>
          <w:lang w:val="en-GB"/>
        </w:rPr>
        <w:noBreakHyphen/>
        <w:t xml:space="preserve">92; ECtHR, </w:t>
      </w:r>
      <w:r w:rsidRPr="00134D73">
        <w:rPr>
          <w:i/>
          <w:lang w:val="en-GB"/>
        </w:rPr>
        <w:t xml:space="preserve">Ergi v Turkey, </w:t>
      </w:r>
      <w:r w:rsidRPr="00134D73">
        <w:rPr>
          <w:lang w:val="en-GB"/>
        </w:rPr>
        <w:t xml:space="preserve">cited above, at §§ 82-85; ECtHR [GC], </w:t>
      </w:r>
      <w:r w:rsidRPr="00134D73">
        <w:rPr>
          <w:i/>
          <w:lang w:val="en-GB"/>
        </w:rPr>
        <w:t>Tanrıkulu v. Turkey</w:t>
      </w:r>
      <w:r w:rsidRPr="00134D73">
        <w:rPr>
          <w:lang w:val="en-GB"/>
        </w:rPr>
        <w:t xml:space="preserve">, no. 23763/94, judgment of 8 July 1999, §§ 101-110, ECHR 1999-IV; ECtHR, </w:t>
      </w:r>
      <w:r w:rsidRPr="00134D73">
        <w:rPr>
          <w:i/>
          <w:lang w:val="en-GB"/>
        </w:rPr>
        <w:t>Khashiyev and Akayeva v. Russia</w:t>
      </w:r>
      <w:r w:rsidRPr="00134D73">
        <w:rPr>
          <w:lang w:val="en-GB"/>
        </w:rPr>
        <w:t xml:space="preserve">, nos. 57942/00 and 57945/00, judgment of 24 February 2005, §§ 156-166; ECtHR, </w:t>
      </w:r>
      <w:r w:rsidRPr="00134D73">
        <w:rPr>
          <w:i/>
          <w:lang w:val="en-GB"/>
        </w:rPr>
        <w:t>Isayeva v. Russia</w:t>
      </w:r>
      <w:r w:rsidRPr="00134D73">
        <w:rPr>
          <w:lang w:val="en-GB"/>
        </w:rPr>
        <w:t>, cited above, at §§ 215</w:t>
      </w:r>
      <w:r w:rsidRPr="00134D73">
        <w:rPr>
          <w:lang w:val="en-GB"/>
        </w:rPr>
        <w:noBreakHyphen/>
        <w:t xml:space="preserve">224; ECtHR, </w:t>
      </w:r>
      <w:r w:rsidRPr="00134D73">
        <w:rPr>
          <w:i/>
          <w:lang w:val="en-GB"/>
        </w:rPr>
        <w:t>Musayev and Others v. Russia</w:t>
      </w:r>
      <w:r w:rsidRPr="00134D73">
        <w:rPr>
          <w:lang w:val="en-GB"/>
        </w:rPr>
        <w:t>, nos. 57941/00 and others, judgment of 26 July 2007, §§ 158-165).</w:t>
      </w:r>
      <w:bookmarkEnd w:id="87"/>
      <w:r w:rsidRPr="00134D73">
        <w:rPr>
          <w:lang w:val="en-GB"/>
        </w:rPr>
        <w:t xml:space="preserve"> </w:t>
      </w:r>
    </w:p>
    <w:p w:rsidR="003E3F85" w:rsidRPr="00134D73" w:rsidRDefault="003E3F85" w:rsidP="003E3F85">
      <w:pPr>
        <w:pStyle w:val="ListParagraph"/>
        <w:suppressAutoHyphens w:val="0"/>
        <w:ind w:left="567"/>
        <w:contextualSpacing/>
        <w:jc w:val="both"/>
        <w:rPr>
          <w:lang w:val="en-GB" w:eastAsia="en-US"/>
        </w:rPr>
      </w:pPr>
    </w:p>
    <w:p w:rsidR="003E3F85" w:rsidRPr="00134D73" w:rsidRDefault="003E3F85" w:rsidP="003E3F85">
      <w:pPr>
        <w:numPr>
          <w:ilvl w:val="0"/>
          <w:numId w:val="2"/>
        </w:numPr>
        <w:tabs>
          <w:tab w:val="left" w:pos="709"/>
        </w:tabs>
        <w:suppressAutoHyphens/>
        <w:autoSpaceDE w:val="0"/>
        <w:jc w:val="both"/>
        <w:rPr>
          <w:lang w:val="en-GB"/>
        </w:rPr>
      </w:pPr>
      <w:bookmarkStart w:id="88" w:name="_Ref404685440"/>
      <w:r w:rsidRPr="00134D73">
        <w:rPr>
          <w:lang w:val="en-GB"/>
        </w:rPr>
        <w:t xml:space="preserve">Similarly, the HRC has held that the right to life, including its procedural guarantees, shall be </w:t>
      </w:r>
      <w:r w:rsidRPr="00134D73">
        <w:t>considered</w:t>
      </w:r>
      <w:r w:rsidRPr="00134D73">
        <w:rPr>
          <w:lang w:val="en-GB"/>
        </w:rPr>
        <w:t xml:space="preserve"> as the supreme right from which no derogation is permitted even in time of public emergency which threatens the life of the nation (</w:t>
      </w:r>
      <w:r w:rsidR="007833CF" w:rsidRPr="00134D73">
        <w:rPr>
          <w:lang w:val="en-GB"/>
        </w:rPr>
        <w:t xml:space="preserve">see </w:t>
      </w:r>
      <w:r w:rsidRPr="00134D73">
        <w:rPr>
          <w:lang w:val="en-GB"/>
        </w:rPr>
        <w:t xml:space="preserve">HRC, General Comment No. 6, cited in § </w:t>
      </w:r>
      <w:r w:rsidR="00E879A0" w:rsidRPr="00134D73">
        <w:fldChar w:fldCharType="begin"/>
      </w:r>
      <w:r w:rsidR="00E879A0" w:rsidRPr="00134D73">
        <w:rPr>
          <w:lang w:val="en-GB"/>
        </w:rPr>
        <w:instrText xml:space="preserve"> REF _Ref412809772 \r \h </w:instrText>
      </w:r>
      <w:r w:rsidR="00E879A0" w:rsidRPr="00134D73">
        <w:instrText xml:space="preserve"> \* MERGEFORMAT </w:instrText>
      </w:r>
      <w:r w:rsidR="00E879A0" w:rsidRPr="00134D73">
        <w:fldChar w:fldCharType="separate"/>
      </w:r>
      <w:r w:rsidR="00AB2ED0" w:rsidRPr="00134D73">
        <w:rPr>
          <w:lang w:val="en-GB"/>
        </w:rPr>
        <w:t>76</w:t>
      </w:r>
      <w:r w:rsidR="00E879A0" w:rsidRPr="00134D73">
        <w:fldChar w:fldCharType="end"/>
      </w:r>
      <w:r w:rsidRPr="00134D73">
        <w:rPr>
          <w:lang w:val="en-GB"/>
        </w:rPr>
        <w:t xml:space="preserve"> above, at § 1; HRC, </w:t>
      </w:r>
      <w:r w:rsidRPr="00134D73">
        <w:rPr>
          <w:i/>
          <w:lang w:val="en-GB"/>
        </w:rPr>
        <w:t>Abubakar Amirov and Aïzan Amirova v. Russi</w:t>
      </w:r>
      <w:r w:rsidRPr="00134D73">
        <w:rPr>
          <w:lang w:val="en-GB"/>
        </w:rPr>
        <w:t>a</w:t>
      </w:r>
      <w:r w:rsidRPr="00134D73">
        <w:rPr>
          <w:i/>
          <w:lang w:val="en-GB"/>
        </w:rPr>
        <w:t>n Federation</w:t>
      </w:r>
      <w:r w:rsidRPr="00134D73">
        <w:rPr>
          <w:lang w:val="en-GB"/>
        </w:rPr>
        <w:t xml:space="preserve">, communication no. 1447/2006, views of 22 April 2009, § 11.2, </w:t>
      </w:r>
      <w:r w:rsidRPr="00134D73">
        <w:rPr>
          <w:bCs/>
          <w:lang w:val="en-GB"/>
        </w:rPr>
        <w:t>CCPR/C/95/D/1447/2006</w:t>
      </w:r>
      <w:r w:rsidRPr="00134D73">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89" w:name="_Ref343611663"/>
      <w:bookmarkEnd w:id="88"/>
    </w:p>
    <w:p w:rsidR="003E3F85" w:rsidRPr="00134D73" w:rsidRDefault="003E3F85" w:rsidP="003E3F85">
      <w:pPr>
        <w:pStyle w:val="ListParagraph"/>
        <w:rPr>
          <w:lang w:val="en-GB"/>
        </w:rPr>
      </w:pPr>
    </w:p>
    <w:p w:rsidR="003E3F85" w:rsidRPr="00134D73" w:rsidRDefault="003E3F85" w:rsidP="003E3F85">
      <w:pPr>
        <w:numPr>
          <w:ilvl w:val="0"/>
          <w:numId w:val="2"/>
        </w:numPr>
        <w:tabs>
          <w:tab w:val="left" w:pos="709"/>
        </w:tabs>
        <w:suppressAutoHyphens/>
        <w:autoSpaceDE w:val="0"/>
        <w:jc w:val="both"/>
        <w:rPr>
          <w:lang w:val="en-GB"/>
        </w:rPr>
      </w:pPr>
      <w:bookmarkStart w:id="90" w:name="_Ref414025885"/>
      <w:r w:rsidRPr="00134D73">
        <w:rPr>
          <w:lang w:val="en-GB"/>
        </w:rPr>
        <w:t xml:space="preserve">The Panel appreciates the difficulties encountered by UNMIK during the first phase of its </w:t>
      </w:r>
      <w:r w:rsidRPr="00134D73">
        <w:t>deployment</w:t>
      </w:r>
      <w:r w:rsidRPr="00134D73">
        <w:rPr>
          <w:lang w:val="en-GB"/>
        </w:rPr>
        <w: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w:t>
      </w:r>
      <w:r w:rsidRPr="00E879A0">
        <w:rPr>
          <w:lang w:val="en-GB"/>
        </w:rPr>
        <w:t xml:space="preserve">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E879A0">
        <w:rPr>
          <w:i/>
          <w:lang w:val="en-GB"/>
        </w:rPr>
        <w:t>mutatis mutandis</w:t>
      </w:r>
      <w:r w:rsidRPr="00E879A0">
        <w:rPr>
          <w:lang w:val="en-GB"/>
        </w:rPr>
        <w:t xml:space="preserve">, ECtHR, </w:t>
      </w:r>
      <w:r w:rsidRPr="00E879A0">
        <w:rPr>
          <w:i/>
          <w:lang w:val="en-GB"/>
        </w:rPr>
        <w:t>R.R. and Others v. Hungary</w:t>
      </w:r>
      <w:r w:rsidRPr="00E879A0">
        <w:rPr>
          <w:lang w:val="en-GB"/>
        </w:rPr>
        <w:t xml:space="preserve">, no. </w:t>
      </w:r>
      <w:r w:rsidRPr="00E879A0">
        <w:rPr>
          <w:lang w:val="en-GB"/>
        </w:rPr>
        <w:lastRenderedPageBreak/>
        <w:t xml:space="preserve">19400/11, judgment of 4 December 2012, §§ 28-32), as well as to consider the special vulnerability of displaced persons in post-conflict situations (see ECtHR [GC], </w:t>
      </w:r>
      <w:r w:rsidRPr="00E879A0">
        <w:rPr>
          <w:i/>
          <w:lang w:val="en-GB"/>
        </w:rPr>
        <w:t xml:space="preserve">Sargsyan v. Azerbaijan, </w:t>
      </w:r>
      <w:r w:rsidRPr="00E879A0">
        <w:rPr>
          <w:lang w:val="en-GB"/>
        </w:rPr>
        <w:t xml:space="preserve">no. 40167/06, decision of 14 December 2011, § 145; and ECtHR [GC], </w:t>
      </w:r>
      <w:r w:rsidRPr="00E879A0">
        <w:rPr>
          <w:i/>
          <w:lang w:val="en-GB"/>
        </w:rPr>
        <w:t xml:space="preserve">Chiragov and Others v. </w:t>
      </w:r>
      <w:r w:rsidRPr="00134D73">
        <w:rPr>
          <w:i/>
          <w:lang w:val="en-GB"/>
        </w:rPr>
        <w:t>Armenia</w:t>
      </w:r>
      <w:r w:rsidRPr="00134D73">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134D73">
        <w:fldChar w:fldCharType="begin"/>
      </w:r>
      <w:r w:rsidRPr="00134D73">
        <w:instrText xml:space="preserve"> REF _Ref346123767 \r \h  \* MERGEFORMAT </w:instrText>
      </w:r>
      <w:r w:rsidRPr="00134D73">
        <w:fldChar w:fldCharType="separate"/>
      </w:r>
      <w:r w:rsidR="00AB2ED0" w:rsidRPr="00134D73">
        <w:rPr>
          <w:lang w:val="en-GB"/>
        </w:rPr>
        <w:t>18</w:t>
      </w:r>
      <w:r w:rsidRPr="00134D73">
        <w:fldChar w:fldCharType="end"/>
      </w:r>
      <w:r w:rsidRPr="00134D73">
        <w:rPr>
          <w:lang w:val="en-GB"/>
        </w:rPr>
        <w:t xml:space="preserve"> above).</w:t>
      </w:r>
      <w:bookmarkEnd w:id="89"/>
      <w:bookmarkEnd w:id="90"/>
    </w:p>
    <w:p w:rsidR="003E3F85" w:rsidRPr="00134D73" w:rsidRDefault="003E3F85" w:rsidP="003E3F85">
      <w:pPr>
        <w:pStyle w:val="ListParagraph"/>
        <w:suppressAutoHyphens w:val="0"/>
        <w:ind w:left="567"/>
        <w:contextualSpacing/>
        <w:jc w:val="both"/>
        <w:rPr>
          <w:lang w:val="en-GB" w:eastAsia="en-US"/>
        </w:rPr>
      </w:pPr>
    </w:p>
    <w:p w:rsidR="003E3F85" w:rsidRPr="00134D73" w:rsidRDefault="003E3F85" w:rsidP="003E3F85">
      <w:pPr>
        <w:numPr>
          <w:ilvl w:val="0"/>
          <w:numId w:val="2"/>
        </w:numPr>
        <w:tabs>
          <w:tab w:val="left" w:pos="709"/>
        </w:tabs>
        <w:suppressAutoHyphens/>
        <w:autoSpaceDE w:val="0"/>
        <w:jc w:val="both"/>
        <w:rPr>
          <w:rStyle w:val="sb8d990e2"/>
          <w:lang w:val="en-GB"/>
        </w:rPr>
      </w:pPr>
      <w:bookmarkStart w:id="91" w:name="_Ref366163789"/>
      <w:r w:rsidRPr="00134D73">
        <w:rPr>
          <w:rStyle w:val="sb8d990e2"/>
          <w:lang w:val="en-GB"/>
        </w:rPr>
        <w:t xml:space="preserve">The Panel </w:t>
      </w:r>
      <w:r w:rsidRPr="00134D73">
        <w:t>further</w:t>
      </w:r>
      <w:r w:rsidRPr="00134D73">
        <w:rPr>
          <w:rStyle w:val="sb8d990e2"/>
          <w:lang w:val="en-GB"/>
        </w:rPr>
        <w:t xml:space="preserve"> notes that its task is not to review relevant practices or alleged obstacles to the conduct of effective investigations </w:t>
      </w:r>
      <w:r w:rsidRPr="00134D73">
        <w:rPr>
          <w:rStyle w:val="s6b621b36"/>
          <w:i/>
          <w:lang w:val="en-GB"/>
        </w:rPr>
        <w:t xml:space="preserve">in </w:t>
      </w:r>
      <w:r w:rsidRPr="00134D73">
        <w:rPr>
          <w:rStyle w:val="wordhighlighted"/>
          <w:i/>
          <w:lang w:val="en-GB"/>
        </w:rPr>
        <w:t>abstracto</w:t>
      </w:r>
      <w:r w:rsidRPr="00134D73">
        <w:rPr>
          <w:rStyle w:val="sb8d990e2"/>
          <w:lang w:val="en-GB"/>
        </w:rPr>
        <w:t>, but only in relation to their specific </w:t>
      </w:r>
      <w:r w:rsidRPr="00134D73">
        <w:t>application</w:t>
      </w:r>
      <w:r w:rsidRPr="00134D73">
        <w:rPr>
          <w:rStyle w:val="sb8d990e2"/>
          <w:lang w:val="en-GB"/>
        </w:rPr>
        <w:t> to the particular circumstances of a situation subject of a complaint before it (</w:t>
      </w:r>
      <w:r w:rsidR="003A3B1C" w:rsidRPr="00134D73">
        <w:rPr>
          <w:rStyle w:val="sb8d990e2"/>
          <w:lang w:val="en-GB"/>
        </w:rPr>
        <w:t xml:space="preserve">see </w:t>
      </w:r>
      <w:r w:rsidRPr="00134D73">
        <w:rPr>
          <w:rStyle w:val="sb8d990e2"/>
          <w:lang w:val="en-GB"/>
        </w:rPr>
        <w:t xml:space="preserve">ECtHR, </w:t>
      </w:r>
      <w:r w:rsidRPr="00134D73">
        <w:rPr>
          <w:rStyle w:val="s6b621b36"/>
          <w:i/>
          <w:lang w:val="en-GB"/>
        </w:rPr>
        <w:t>Brogan and Others v. the United Kingdom</w:t>
      </w:r>
      <w:r w:rsidRPr="00134D73">
        <w:rPr>
          <w:rStyle w:val="sb8d990e2"/>
          <w:lang w:val="en-GB"/>
        </w:rPr>
        <w:t xml:space="preserve">, </w:t>
      </w:r>
      <w:r w:rsidRPr="00134D73">
        <w:rPr>
          <w:rStyle w:val="column01"/>
          <w:lang w:val="en-GB"/>
        </w:rPr>
        <w:t>judgment of</w:t>
      </w:r>
      <w:r w:rsidRPr="00134D73">
        <w:rPr>
          <w:rStyle w:val="sb8d990e2"/>
          <w:lang w:val="en-GB"/>
        </w:rPr>
        <w:t xml:space="preserve"> 29 November 1988,</w:t>
      </w:r>
      <w:r w:rsidRPr="00134D73">
        <w:rPr>
          <w:lang w:val="en-GB"/>
        </w:rPr>
        <w:t xml:space="preserve"> </w:t>
      </w:r>
      <w:r w:rsidRPr="00134D73">
        <w:rPr>
          <w:rStyle w:val="sb8d990e2"/>
          <w:lang w:val="en-GB"/>
        </w:rPr>
        <w:t xml:space="preserve">§ 53, Series A no. 145-B). </w:t>
      </w:r>
      <w:r w:rsidRPr="00134D73">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34D73">
        <w:rPr>
          <w:rStyle w:val="sb8d990e2"/>
          <w:lang w:val="en-GB"/>
        </w:rPr>
        <w:t>For these reasons, the Panel considers that it will establish with regard to each case if all reasonable steps were taken to conduct an effective investigation as prescribed by Article 2,</w:t>
      </w:r>
      <w:r w:rsidRPr="00134D73">
        <w:rPr>
          <w:lang w:val="en-GB"/>
        </w:rPr>
        <w:t xml:space="preserve"> </w:t>
      </w:r>
      <w:r w:rsidRPr="00134D73">
        <w:rPr>
          <w:rStyle w:val="sb8d990e2"/>
          <w:lang w:val="en-GB"/>
        </w:rPr>
        <w:t>having regard to the realities of the investigative work in Kosovo.</w:t>
      </w:r>
      <w:bookmarkEnd w:id="91"/>
    </w:p>
    <w:p w:rsidR="003E3F85" w:rsidRPr="00134D73" w:rsidRDefault="003E3F85" w:rsidP="003E3F85">
      <w:pPr>
        <w:pStyle w:val="ListParagraph"/>
        <w:rPr>
          <w:rStyle w:val="sb8d990e2"/>
          <w:lang w:val="en-GB" w:eastAsia="en-US"/>
        </w:rPr>
      </w:pPr>
    </w:p>
    <w:p w:rsidR="003E3F85" w:rsidRPr="00134D73" w:rsidRDefault="003E3F85" w:rsidP="00B41BE6">
      <w:pPr>
        <w:numPr>
          <w:ilvl w:val="0"/>
          <w:numId w:val="2"/>
        </w:numPr>
        <w:tabs>
          <w:tab w:val="left" w:pos="709"/>
        </w:tabs>
        <w:suppressAutoHyphens/>
        <w:autoSpaceDE w:val="0"/>
        <w:jc w:val="both"/>
        <w:rPr>
          <w:lang w:eastAsia="nl-NL"/>
        </w:rPr>
      </w:pPr>
      <w:r w:rsidRPr="00134D73">
        <w:t xml:space="preserve">Lastly, in response to the SRSG’s objection that Article 2 must be interpreted in a way which </w:t>
      </w:r>
      <w:r w:rsidRPr="00134D73">
        <w:rPr>
          <w:lang w:val="en-GB"/>
        </w:rPr>
        <w:t>does</w:t>
      </w:r>
      <w:r w:rsidRPr="00134D73">
        <w:t xml:space="preserve"> not </w:t>
      </w:r>
      <w:r w:rsidRPr="00134D73">
        <w:rPr>
          <w:lang w:val="en-GB"/>
        </w:rPr>
        <w:t>impose</w:t>
      </w:r>
      <w:r w:rsidRPr="00134D73">
        <w:t xml:space="preserve"> an impossible or disproportionate burden on the authorities, e</w:t>
      </w:r>
      <w:r w:rsidR="00622236" w:rsidRPr="00134D73">
        <w:t xml:space="preserve">ither in the context of </w:t>
      </w:r>
      <w:proofErr w:type="spellStart"/>
      <w:r w:rsidR="00622236" w:rsidRPr="00134D73">
        <w:t>policin</w:t>
      </w:r>
      <w:proofErr w:type="spellEnd"/>
      <w:r w:rsidRPr="00134D73">
        <w:rPr>
          <w:lang w:val="en-GB"/>
        </w:rPr>
        <w:t>g</w:t>
      </w:r>
      <w:r w:rsidRPr="00134D73">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134D73">
        <w:t>ECtHR</w:t>
      </w:r>
      <w:proofErr w:type="spellEnd"/>
      <w:r w:rsidRPr="00134D73">
        <w:t xml:space="preserve">, </w:t>
      </w:r>
      <w:r w:rsidRPr="00134D73">
        <w:rPr>
          <w:i/>
        </w:rPr>
        <w:t>Palić v. Bosnia and Herzegovina,</w:t>
      </w:r>
      <w:r w:rsidRPr="00134D73">
        <w:t xml:space="preserve"> cited in § </w:t>
      </w:r>
      <w:r w:rsidRPr="00134D73">
        <w:fldChar w:fldCharType="begin"/>
      </w:r>
      <w:r w:rsidRPr="00134D73">
        <w:instrText xml:space="preserve"> REF _Ref366239979 \r \h  \* MERGEFORMAT </w:instrText>
      </w:r>
      <w:r w:rsidRPr="00134D73">
        <w:fldChar w:fldCharType="separate"/>
      </w:r>
      <w:r w:rsidR="00AB2ED0" w:rsidRPr="00134D73">
        <w:t>80</w:t>
      </w:r>
      <w:r w:rsidRPr="00134D73">
        <w:fldChar w:fldCharType="end"/>
      </w:r>
      <w:r w:rsidRPr="00134D73">
        <w:t xml:space="preserve"> above, at § 70; </w:t>
      </w:r>
      <w:proofErr w:type="spellStart"/>
      <w:r w:rsidR="00B41BE6" w:rsidRPr="00134D73">
        <w:t>ECtHR</w:t>
      </w:r>
      <w:proofErr w:type="spellEnd"/>
      <w:r w:rsidR="00B41BE6" w:rsidRPr="00134D73">
        <w:t xml:space="preserve">, </w:t>
      </w:r>
      <w:r w:rsidRPr="00134D73">
        <w:rPr>
          <w:i/>
        </w:rPr>
        <w:t>Brecknell v. The United Kingdom,</w:t>
      </w:r>
      <w:r w:rsidRPr="00134D73">
        <w:t xml:space="preserve"> no. 32457/04, judgment of 27 November 2007, § 62).</w:t>
      </w:r>
    </w:p>
    <w:p w:rsidR="00CE4484" w:rsidRPr="00134D73" w:rsidRDefault="00CE4484" w:rsidP="00CE4484">
      <w:pPr>
        <w:pStyle w:val="ListParagraph"/>
        <w:rPr>
          <w:lang w:eastAsia="nl-NL"/>
        </w:rPr>
      </w:pPr>
    </w:p>
    <w:p w:rsidR="00CE4484" w:rsidRPr="00134D73" w:rsidRDefault="00CE4484" w:rsidP="00CE4484">
      <w:pPr>
        <w:numPr>
          <w:ilvl w:val="0"/>
          <w:numId w:val="2"/>
        </w:numPr>
        <w:contextualSpacing/>
        <w:jc w:val="both"/>
        <w:rPr>
          <w:rStyle w:val="sb8d990e2"/>
          <w:color w:val="000000" w:themeColor="text1"/>
          <w:lang w:val="en-GB"/>
        </w:rPr>
      </w:pPr>
      <w:bookmarkStart w:id="92" w:name="_Ref403834230"/>
      <w:r w:rsidRPr="00134D73">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134D73">
        <w:rPr>
          <w:rStyle w:val="sb8d990e2"/>
          <w:i/>
          <w:color w:val="000000" w:themeColor="text1"/>
          <w:lang w:val="en-GB"/>
        </w:rPr>
        <w:t>Aslakhanova and Others v. Russia</w:t>
      </w:r>
      <w:r w:rsidRPr="00134D73">
        <w:rPr>
          <w:rStyle w:val="sb8d990e2"/>
          <w:color w:val="000000" w:themeColor="text1"/>
          <w:lang w:val="en-GB"/>
        </w:rPr>
        <w:t xml:space="preserve">, cited in § </w:t>
      </w:r>
      <w:r w:rsidRPr="00134D73">
        <w:rPr>
          <w:rStyle w:val="sb8d990e2"/>
          <w:color w:val="000000" w:themeColor="text1"/>
          <w:lang w:val="en-GB"/>
        </w:rPr>
        <w:fldChar w:fldCharType="begin"/>
      </w:r>
      <w:r w:rsidRPr="00134D73">
        <w:rPr>
          <w:rStyle w:val="sb8d990e2"/>
          <w:color w:val="000000" w:themeColor="text1"/>
          <w:lang w:val="en-GB"/>
        </w:rPr>
        <w:instrText xml:space="preserve"> REF _Ref373950745 \r \h </w:instrText>
      </w:r>
      <w:r w:rsidR="00393E7A" w:rsidRPr="00134D73">
        <w:rPr>
          <w:rStyle w:val="sb8d990e2"/>
          <w:color w:val="000000" w:themeColor="text1"/>
          <w:lang w:val="en-GB"/>
        </w:rPr>
        <w:instrText xml:space="preserve"> \* MERGEFORMAT </w:instrText>
      </w:r>
      <w:r w:rsidRPr="00134D73">
        <w:rPr>
          <w:rStyle w:val="sb8d990e2"/>
          <w:color w:val="000000" w:themeColor="text1"/>
          <w:lang w:val="en-GB"/>
        </w:rPr>
      </w:r>
      <w:r w:rsidRPr="00134D73">
        <w:rPr>
          <w:rStyle w:val="sb8d990e2"/>
          <w:color w:val="000000" w:themeColor="text1"/>
          <w:lang w:val="en-GB"/>
        </w:rPr>
        <w:fldChar w:fldCharType="separate"/>
      </w:r>
      <w:r w:rsidR="00AB2ED0" w:rsidRPr="00134D73">
        <w:rPr>
          <w:rStyle w:val="sb8d990e2"/>
          <w:color w:val="000000" w:themeColor="text1"/>
          <w:lang w:val="en-GB"/>
        </w:rPr>
        <w:t>83</w:t>
      </w:r>
      <w:r w:rsidRPr="00134D73">
        <w:rPr>
          <w:rStyle w:val="sb8d990e2"/>
          <w:color w:val="000000" w:themeColor="text1"/>
          <w:lang w:val="en-GB"/>
        </w:rPr>
        <w:fldChar w:fldCharType="end"/>
      </w:r>
      <w:r w:rsidRPr="00134D73">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92"/>
    </w:p>
    <w:p w:rsidR="00CE4484" w:rsidRPr="00134D73" w:rsidRDefault="00CE4484" w:rsidP="00CE4484">
      <w:pPr>
        <w:tabs>
          <w:tab w:val="left" w:pos="709"/>
        </w:tabs>
        <w:suppressAutoHyphens/>
        <w:autoSpaceDE w:val="0"/>
        <w:ind w:left="360"/>
        <w:jc w:val="both"/>
        <w:rPr>
          <w:lang w:eastAsia="nl-NL"/>
        </w:rPr>
      </w:pPr>
    </w:p>
    <w:p w:rsidR="003E3F85" w:rsidRPr="00134D73" w:rsidRDefault="003E3F85" w:rsidP="003E3F85">
      <w:pPr>
        <w:pStyle w:val="ListParagraph"/>
        <w:numPr>
          <w:ilvl w:val="0"/>
          <w:numId w:val="7"/>
        </w:numPr>
        <w:contextualSpacing/>
        <w:jc w:val="both"/>
        <w:rPr>
          <w:i/>
          <w:lang w:val="en-GB"/>
        </w:rPr>
      </w:pPr>
      <w:r w:rsidRPr="00134D73">
        <w:rPr>
          <w:i/>
          <w:lang w:val="en-GB"/>
        </w:rPr>
        <w:t>Compliance with Article 2 in the present case</w:t>
      </w:r>
    </w:p>
    <w:p w:rsidR="009A6E2B" w:rsidRPr="00134D73" w:rsidRDefault="009A6E2B" w:rsidP="009A6E2B">
      <w:pPr>
        <w:tabs>
          <w:tab w:val="left" w:pos="360"/>
        </w:tabs>
        <w:suppressAutoHyphens/>
        <w:autoSpaceDE w:val="0"/>
        <w:jc w:val="both"/>
        <w:rPr>
          <w:lang w:val="en-GB"/>
        </w:rPr>
      </w:pPr>
    </w:p>
    <w:p w:rsidR="00A832A3" w:rsidRPr="00134D73" w:rsidRDefault="00A832A3" w:rsidP="00A832A3">
      <w:pPr>
        <w:numPr>
          <w:ilvl w:val="0"/>
          <w:numId w:val="2"/>
        </w:numPr>
        <w:tabs>
          <w:tab w:val="left" w:pos="360"/>
        </w:tabs>
        <w:suppressAutoHyphens/>
        <w:autoSpaceDE w:val="0"/>
        <w:jc w:val="both"/>
      </w:pPr>
      <w:bookmarkStart w:id="93" w:name="_Ref414018283"/>
      <w:r w:rsidRPr="00134D73">
        <w:rPr>
          <w:lang w:val="en-GB"/>
        </w:rPr>
        <w:lastRenderedPageBreak/>
        <w:t xml:space="preserve">Turning to the particulars of this case, the Panel notes that the investigative file reflects that UNMIK became aware of Mrs </w:t>
      </w:r>
      <w:proofErr w:type="spellStart"/>
      <w:r w:rsidRPr="00134D73">
        <w:rPr>
          <w:lang w:val="en-GB"/>
        </w:rPr>
        <w:t>Slavka</w:t>
      </w:r>
      <w:proofErr w:type="spellEnd"/>
      <w:r w:rsidRPr="00134D73">
        <w:rPr>
          <w:lang w:val="en-GB"/>
        </w:rPr>
        <w:t xml:space="preserve"> </w:t>
      </w:r>
      <w:proofErr w:type="spellStart"/>
      <w:r w:rsidRPr="00134D73">
        <w:rPr>
          <w:lang w:val="en-GB"/>
        </w:rPr>
        <w:t>Pantović</w:t>
      </w:r>
      <w:proofErr w:type="spellEnd"/>
      <w:r w:rsidRPr="00134D73">
        <w:rPr>
          <w:lang w:val="en-GB"/>
        </w:rPr>
        <w:t xml:space="preserve">, Mr </w:t>
      </w:r>
      <w:proofErr w:type="spellStart"/>
      <w:r w:rsidRPr="00134D73">
        <w:rPr>
          <w:lang w:val="en-GB"/>
        </w:rPr>
        <w:t>Milić</w:t>
      </w:r>
      <w:proofErr w:type="spellEnd"/>
      <w:r w:rsidRPr="00134D73">
        <w:rPr>
          <w:lang w:val="en-GB"/>
        </w:rPr>
        <w:t xml:space="preserve"> </w:t>
      </w:r>
      <w:proofErr w:type="spellStart"/>
      <w:r w:rsidRPr="00134D73">
        <w:rPr>
          <w:lang w:val="en-GB"/>
        </w:rPr>
        <w:t>Pantović</w:t>
      </w:r>
      <w:proofErr w:type="spellEnd"/>
      <w:r w:rsidRPr="00134D73">
        <w:rPr>
          <w:lang w:val="en-GB"/>
        </w:rPr>
        <w:t xml:space="preserve"> and Mrs </w:t>
      </w:r>
      <w:proofErr w:type="spellStart"/>
      <w:r w:rsidRPr="00134D73">
        <w:rPr>
          <w:lang w:val="en-GB"/>
        </w:rPr>
        <w:t>Mileva</w:t>
      </w:r>
      <w:proofErr w:type="spellEnd"/>
      <w:r w:rsidRPr="00134D73">
        <w:rPr>
          <w:lang w:val="en-GB"/>
        </w:rPr>
        <w:t xml:space="preserve"> </w:t>
      </w:r>
      <w:proofErr w:type="spellStart"/>
      <w:r w:rsidRPr="00134D73">
        <w:rPr>
          <w:lang w:val="en-GB"/>
        </w:rPr>
        <w:t>Pantović</w:t>
      </w:r>
      <w:proofErr w:type="spellEnd"/>
      <w:r w:rsidRPr="00134D73">
        <w:rPr>
          <w:lang w:val="en-GB"/>
        </w:rPr>
        <w:t xml:space="preserve"> disappearance on 12 October 2001, when UNMIK Police received </w:t>
      </w:r>
      <w:r w:rsidR="00BD5784">
        <w:rPr>
          <w:lang w:val="en-GB"/>
        </w:rPr>
        <w:t>their</w:t>
      </w:r>
      <w:r w:rsidRPr="00134D73">
        <w:rPr>
          <w:lang w:val="en-GB"/>
        </w:rPr>
        <w:t xml:space="preserve"> name</w:t>
      </w:r>
      <w:r w:rsidR="00BD5784">
        <w:rPr>
          <w:lang w:val="en-GB"/>
        </w:rPr>
        <w:t>s</w:t>
      </w:r>
      <w:r w:rsidRPr="00134D73">
        <w:rPr>
          <w:lang w:val="en-GB"/>
        </w:rPr>
        <w:t xml:space="preserve"> as a missing person in the list communicated by the ICRC (see § </w:t>
      </w:r>
      <w:r w:rsidR="00134D73" w:rsidRPr="00134D73">
        <w:rPr>
          <w:lang w:val="en-GB"/>
        </w:rPr>
        <w:fldChar w:fldCharType="begin"/>
      </w:r>
      <w:r w:rsidR="00134D73" w:rsidRPr="00134D73">
        <w:rPr>
          <w:lang w:val="en-GB"/>
        </w:rPr>
        <w:instrText xml:space="preserve"> REF _Ref418245876 \r \h </w:instrText>
      </w:r>
      <w:r w:rsidR="00134D73">
        <w:rPr>
          <w:lang w:val="en-GB"/>
        </w:rPr>
        <w:instrText xml:space="preserve"> \* MERGEFORMAT </w:instrText>
      </w:r>
      <w:r w:rsidR="00134D73" w:rsidRPr="00134D73">
        <w:rPr>
          <w:lang w:val="en-GB"/>
        </w:rPr>
      </w:r>
      <w:r w:rsidR="00134D73" w:rsidRPr="00134D73">
        <w:rPr>
          <w:lang w:val="en-GB"/>
        </w:rPr>
        <w:fldChar w:fldCharType="separate"/>
      </w:r>
      <w:r w:rsidR="00134D73" w:rsidRPr="00134D73">
        <w:rPr>
          <w:lang w:val="en-GB"/>
        </w:rPr>
        <w:t>24</w:t>
      </w:r>
      <w:r w:rsidR="00134D73" w:rsidRPr="00134D73">
        <w:rPr>
          <w:lang w:val="en-GB"/>
        </w:rPr>
        <w:fldChar w:fldCharType="end"/>
      </w:r>
      <w:r w:rsidR="00134D73" w:rsidRPr="00134D73">
        <w:rPr>
          <w:lang w:val="en-GB"/>
        </w:rPr>
        <w:t xml:space="preserve"> </w:t>
      </w:r>
      <w:r w:rsidRPr="00134D73">
        <w:rPr>
          <w:lang w:val="en-GB"/>
        </w:rPr>
        <w:t>above). For his part, the SRSG states that “</w:t>
      </w:r>
      <w:r w:rsidRPr="00134D73">
        <w:t xml:space="preserve">on 2 May 2002, MPU started to collect ante mortem information on their disappearances” (see § </w:t>
      </w:r>
      <w:r w:rsidRPr="00134D73">
        <w:fldChar w:fldCharType="begin"/>
      </w:r>
      <w:r w:rsidRPr="00134D73">
        <w:instrText xml:space="preserve"> REF _Ref419368871 \r \h  \* MERGEFORMAT </w:instrText>
      </w:r>
      <w:r w:rsidRPr="00134D73">
        <w:fldChar w:fldCharType="separate"/>
      </w:r>
      <w:r w:rsidR="00AB2ED0" w:rsidRPr="00134D73">
        <w:t>64</w:t>
      </w:r>
      <w:r w:rsidRPr="00134D73">
        <w:fldChar w:fldCharType="end"/>
      </w:r>
      <w:r w:rsidRPr="00134D73">
        <w:t xml:space="preserve"> above).</w:t>
      </w:r>
      <w:bookmarkEnd w:id="93"/>
      <w:r w:rsidRPr="00134D73">
        <w:t xml:space="preserve"> </w:t>
      </w:r>
      <w:r w:rsidRPr="00134D73">
        <w:rPr>
          <w:lang w:val="en-GB"/>
        </w:rPr>
        <w:t xml:space="preserve"> </w:t>
      </w:r>
    </w:p>
    <w:p w:rsidR="00676392" w:rsidRPr="00134D73" w:rsidRDefault="00676392" w:rsidP="00A832A3">
      <w:pPr>
        <w:suppressAutoHyphens/>
        <w:autoSpaceDE w:val="0"/>
        <w:ind w:left="360"/>
        <w:jc w:val="both"/>
      </w:pPr>
    </w:p>
    <w:p w:rsidR="00CF4DD4" w:rsidRPr="00134D73" w:rsidRDefault="00CF4DD4" w:rsidP="00CF4DD4">
      <w:pPr>
        <w:numPr>
          <w:ilvl w:val="0"/>
          <w:numId w:val="2"/>
        </w:numPr>
        <w:tabs>
          <w:tab w:val="left" w:pos="709"/>
        </w:tabs>
        <w:suppressAutoHyphens/>
        <w:autoSpaceDE w:val="0"/>
        <w:jc w:val="both"/>
        <w:rPr>
          <w:b/>
          <w:i/>
          <w:u w:val="single"/>
          <w:lang w:val="en-GB"/>
        </w:rPr>
      </w:pPr>
      <w:r w:rsidRPr="00134D73">
        <w:rPr>
          <w:lang w:val="en-GB"/>
        </w:rPr>
        <w:t xml:space="preserve">The purpose of this investigation was to </w:t>
      </w:r>
      <w:r w:rsidRPr="00134D73">
        <w:rPr>
          <w:lang w:val="en-GB" w:eastAsia="en-GB"/>
        </w:rPr>
        <w:t xml:space="preserve">discover the truth about the circumstances of </w:t>
      </w:r>
      <w:r w:rsidR="00833CCC" w:rsidRPr="00134D73">
        <w:rPr>
          <w:lang w:val="en-GB" w:eastAsia="en-GB"/>
        </w:rPr>
        <w:t xml:space="preserve">the </w:t>
      </w:r>
      <w:r w:rsidR="00833CCC" w:rsidRPr="00134D73">
        <w:rPr>
          <w:lang w:val="en-GB"/>
        </w:rPr>
        <w:t xml:space="preserve">disappearance of Mrs </w:t>
      </w:r>
      <w:proofErr w:type="spellStart"/>
      <w:r w:rsidR="00833CCC" w:rsidRPr="00134D73">
        <w:rPr>
          <w:lang w:val="en-GB"/>
        </w:rPr>
        <w:t>Slavka</w:t>
      </w:r>
      <w:proofErr w:type="spellEnd"/>
      <w:r w:rsidR="00833CCC" w:rsidRPr="00134D73">
        <w:rPr>
          <w:lang w:val="en-GB"/>
        </w:rPr>
        <w:t xml:space="preserve"> </w:t>
      </w:r>
      <w:proofErr w:type="spellStart"/>
      <w:r w:rsidR="00833CCC" w:rsidRPr="00134D73">
        <w:rPr>
          <w:lang w:val="en-GB"/>
        </w:rPr>
        <w:t>Pantović</w:t>
      </w:r>
      <w:proofErr w:type="spellEnd"/>
      <w:r w:rsidR="00833CCC" w:rsidRPr="00134D73">
        <w:rPr>
          <w:lang w:val="en-GB"/>
        </w:rPr>
        <w:t xml:space="preserve">, Mr </w:t>
      </w:r>
      <w:proofErr w:type="spellStart"/>
      <w:r w:rsidR="00833CCC" w:rsidRPr="00134D73">
        <w:rPr>
          <w:lang w:val="en-GB"/>
        </w:rPr>
        <w:t>Milić</w:t>
      </w:r>
      <w:proofErr w:type="spellEnd"/>
      <w:r w:rsidR="00833CCC" w:rsidRPr="00134D73">
        <w:rPr>
          <w:lang w:val="en-GB"/>
        </w:rPr>
        <w:t xml:space="preserve"> </w:t>
      </w:r>
      <w:proofErr w:type="spellStart"/>
      <w:r w:rsidR="00833CCC" w:rsidRPr="00134D73">
        <w:rPr>
          <w:lang w:val="en-GB"/>
        </w:rPr>
        <w:t>Pantović</w:t>
      </w:r>
      <w:proofErr w:type="spellEnd"/>
      <w:r w:rsidR="00833CCC" w:rsidRPr="00134D73">
        <w:rPr>
          <w:lang w:val="en-GB"/>
        </w:rPr>
        <w:t xml:space="preserve"> and Mrs </w:t>
      </w:r>
      <w:proofErr w:type="spellStart"/>
      <w:r w:rsidR="00833CCC" w:rsidRPr="00134D73">
        <w:rPr>
          <w:lang w:val="en-GB"/>
        </w:rPr>
        <w:t>Mileva</w:t>
      </w:r>
      <w:proofErr w:type="spellEnd"/>
      <w:r w:rsidR="00833CCC" w:rsidRPr="00134D73">
        <w:rPr>
          <w:lang w:val="en-GB"/>
        </w:rPr>
        <w:t xml:space="preserve"> </w:t>
      </w:r>
      <w:proofErr w:type="spellStart"/>
      <w:r w:rsidR="00833CCC" w:rsidRPr="00134D73">
        <w:rPr>
          <w:lang w:val="en-GB"/>
        </w:rPr>
        <w:t>Pantović</w:t>
      </w:r>
      <w:proofErr w:type="spellEnd"/>
      <w:r w:rsidR="00833CCC" w:rsidRPr="00134D73">
        <w:rPr>
          <w:lang w:val="en-GB"/>
        </w:rPr>
        <w:t xml:space="preserve"> </w:t>
      </w:r>
      <w:r w:rsidRPr="00134D73">
        <w:rPr>
          <w:lang w:val="en-GB"/>
        </w:rPr>
        <w:t>and to identify the perpetrators</w:t>
      </w:r>
      <w:r w:rsidRPr="00134D73">
        <w:rPr>
          <w:lang w:val="en-GB" w:eastAsia="en-GB"/>
        </w:rPr>
        <w:t xml:space="preserve">. To fulfil these purposes, those conducting the investigation were required to seek, collect and preserve evidentiary material; to identify possible </w:t>
      </w:r>
      <w:r w:rsidRPr="00134D73">
        <w:rPr>
          <w:lang w:val="en-GB"/>
        </w:rPr>
        <w:t>witnesses</w:t>
      </w:r>
      <w:r w:rsidRPr="00134D73">
        <w:rPr>
          <w:lang w:val="en-GB" w:eastAsia="en-GB"/>
        </w:rPr>
        <w:t xml:space="preserve"> and to obtain their statements; to identify the perpetrator(s) and bring them before a competent court established by law.</w:t>
      </w:r>
    </w:p>
    <w:p w:rsidR="00CF4DD4" w:rsidRPr="00134D73" w:rsidRDefault="00CF4DD4" w:rsidP="00CF4DD4">
      <w:pPr>
        <w:pStyle w:val="ListParagraph"/>
        <w:suppressAutoHyphens w:val="0"/>
        <w:ind w:left="360"/>
        <w:contextualSpacing/>
        <w:jc w:val="both"/>
        <w:rPr>
          <w:lang w:val="en-GB" w:eastAsia="en-US"/>
        </w:rPr>
      </w:pPr>
    </w:p>
    <w:p w:rsidR="00CF4DD4" w:rsidRPr="00134D73" w:rsidRDefault="00CF4DD4" w:rsidP="00CF4DD4">
      <w:pPr>
        <w:numPr>
          <w:ilvl w:val="0"/>
          <w:numId w:val="2"/>
        </w:numPr>
        <w:tabs>
          <w:tab w:val="left" w:pos="709"/>
        </w:tabs>
        <w:suppressAutoHyphens/>
        <w:autoSpaceDE w:val="0"/>
        <w:jc w:val="both"/>
        <w:rPr>
          <w:lang w:val="en-GB" w:eastAsia="en-GB"/>
        </w:rPr>
      </w:pPr>
      <w:r w:rsidRPr="00134D73">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134D73">
        <w:rPr>
          <w:i/>
          <w:lang w:val="en-GB" w:eastAsia="en-GB"/>
        </w:rPr>
        <w:t>inter alia</w:t>
      </w:r>
      <w:r w:rsidRPr="00134D73">
        <w:rPr>
          <w:lang w:val="en-GB" w:eastAsia="en-GB"/>
        </w:rPr>
        <w:t xml:space="preserve"> eye-witness </w:t>
      </w:r>
      <w:r w:rsidRPr="00134D73">
        <w:rPr>
          <w:lang w:val="en-GB"/>
        </w:rPr>
        <w:t>testimony</w:t>
      </w:r>
      <w:r w:rsidRPr="00134D73">
        <w:rPr>
          <w:lang w:val="en-GB" w:eastAsia="en-GB"/>
        </w:rPr>
        <w:t xml:space="preserve">, forensic evidence etc. The investigation must also ensure a sufficient element of public scrutiny and be reasonably </w:t>
      </w:r>
      <w:r w:rsidRPr="00134D73">
        <w:rPr>
          <w:lang w:val="en-GB"/>
        </w:rPr>
        <w:t>accessible to the victim’s family. T</w:t>
      </w:r>
      <w:r w:rsidRPr="00134D73">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134D73">
        <w:rPr>
          <w:bCs/>
          <w:lang w:val="en-GB"/>
        </w:rPr>
        <w:t xml:space="preserve"> (see §§ </w:t>
      </w:r>
      <w:r w:rsidRPr="00134D73">
        <w:fldChar w:fldCharType="begin"/>
      </w:r>
      <w:r w:rsidRPr="00134D73">
        <w:rPr>
          <w:bCs/>
          <w:lang w:val="en-GB"/>
        </w:rPr>
        <w:instrText xml:space="preserve"> REF _Ref366239979 \r \h </w:instrText>
      </w:r>
      <w:r w:rsidR="00393E7A" w:rsidRPr="00134D73">
        <w:instrText xml:space="preserve"> \* MERGEFORMAT </w:instrText>
      </w:r>
      <w:r w:rsidRPr="00134D73">
        <w:fldChar w:fldCharType="separate"/>
      </w:r>
      <w:r w:rsidR="00AB2ED0" w:rsidRPr="00134D73">
        <w:rPr>
          <w:bCs/>
          <w:lang w:val="en-GB"/>
        </w:rPr>
        <w:t>80</w:t>
      </w:r>
      <w:r w:rsidRPr="00134D73">
        <w:fldChar w:fldCharType="end"/>
      </w:r>
      <w:r w:rsidRPr="00134D73">
        <w:rPr>
          <w:bCs/>
          <w:lang w:val="en-GB"/>
        </w:rPr>
        <w:t xml:space="preserve"> - </w:t>
      </w:r>
      <w:r w:rsidRPr="00134D73">
        <w:fldChar w:fldCharType="begin"/>
      </w:r>
      <w:r w:rsidRPr="00134D73">
        <w:rPr>
          <w:bCs/>
          <w:lang w:val="en-GB"/>
        </w:rPr>
        <w:instrText xml:space="preserve"> REF _Ref401245516 \r \h </w:instrText>
      </w:r>
      <w:r w:rsidR="00393E7A" w:rsidRPr="00134D73">
        <w:instrText xml:space="preserve"> \* MERGEFORMAT </w:instrText>
      </w:r>
      <w:r w:rsidRPr="00134D73">
        <w:fldChar w:fldCharType="separate"/>
      </w:r>
      <w:r w:rsidR="00AB2ED0" w:rsidRPr="00134D73">
        <w:rPr>
          <w:bCs/>
          <w:lang w:val="en-GB"/>
        </w:rPr>
        <w:t>81</w:t>
      </w:r>
      <w:r w:rsidRPr="00134D73">
        <w:fldChar w:fldCharType="end"/>
      </w:r>
      <w:r w:rsidRPr="00134D73">
        <w:rPr>
          <w:bCs/>
          <w:lang w:val="en-GB"/>
        </w:rPr>
        <w:t xml:space="preserve"> above).</w:t>
      </w:r>
    </w:p>
    <w:p w:rsidR="00CF4DD4" w:rsidRPr="00134D73" w:rsidRDefault="00CF4DD4" w:rsidP="00B33743">
      <w:pPr>
        <w:rPr>
          <w:lang w:val="en-GB"/>
        </w:rPr>
      </w:pPr>
    </w:p>
    <w:p w:rsidR="00CF4DD4" w:rsidRPr="00134D73" w:rsidRDefault="00CF4DD4" w:rsidP="003A3B1C">
      <w:pPr>
        <w:numPr>
          <w:ilvl w:val="0"/>
          <w:numId w:val="2"/>
        </w:numPr>
        <w:tabs>
          <w:tab w:val="clear" w:pos="360"/>
          <w:tab w:val="num" w:pos="426"/>
          <w:tab w:val="left" w:pos="709"/>
        </w:tabs>
        <w:suppressAutoHyphens/>
        <w:autoSpaceDE w:val="0"/>
        <w:ind w:left="426" w:hanging="426"/>
        <w:jc w:val="both"/>
      </w:pPr>
      <w:bookmarkStart w:id="94" w:name="_Ref379796585"/>
      <w:r w:rsidRPr="00134D73">
        <w:t xml:space="preserve">The Panel notes in this regard that according to the 2000 Annual Report of UNMIK Police, the complete executive policing powers in the </w:t>
      </w:r>
      <w:r w:rsidR="00E92DED" w:rsidRPr="00134D73">
        <w:t>Pejë/Peć region, including criminal investigations, were under the full control of UNMIK Police from June 2000</w:t>
      </w:r>
      <w:r w:rsidRPr="00134D73">
        <w:t xml:space="preserve">. Therefore, it was UNMIK’s responsibility to ensure, </w:t>
      </w:r>
      <w:r w:rsidRPr="00134D73">
        <w:rPr>
          <w:i/>
        </w:rPr>
        <w:t>first</w:t>
      </w:r>
      <w:r w:rsidRPr="00134D73">
        <w:t xml:space="preserve">, that the investigation is conducted expeditiously and efficiently; </w:t>
      </w:r>
      <w:r w:rsidRPr="00134D73">
        <w:rPr>
          <w:i/>
        </w:rPr>
        <w:t>second</w:t>
      </w:r>
      <w:r w:rsidRPr="00134D73">
        <w:t xml:space="preserve">, that all relevant investigative material is properly handed over to the authority taking over responsibility for the investigation (EULEX); and </w:t>
      </w:r>
      <w:r w:rsidRPr="00134D73">
        <w:rPr>
          <w:i/>
        </w:rPr>
        <w:t>third</w:t>
      </w:r>
      <w:r w:rsidRPr="00134D73">
        <w:t>, that the investigative files could be traced and retrieved, should a need for that arise at any later stage.</w:t>
      </w:r>
      <w:bookmarkEnd w:id="94"/>
    </w:p>
    <w:p w:rsidR="003E3F85" w:rsidRPr="00134D73" w:rsidRDefault="003E3F85" w:rsidP="003A3B1C">
      <w:pPr>
        <w:tabs>
          <w:tab w:val="num" w:pos="426"/>
        </w:tabs>
        <w:ind w:left="426" w:hanging="426"/>
        <w:jc w:val="both"/>
        <w:rPr>
          <w:lang w:val="en-GB"/>
        </w:rPr>
      </w:pPr>
    </w:p>
    <w:p w:rsidR="004162BE" w:rsidRPr="00134D73" w:rsidRDefault="00E92DED" w:rsidP="003A3B1C">
      <w:pPr>
        <w:numPr>
          <w:ilvl w:val="0"/>
          <w:numId w:val="2"/>
        </w:numPr>
        <w:tabs>
          <w:tab w:val="clear" w:pos="360"/>
          <w:tab w:val="num" w:pos="426"/>
          <w:tab w:val="left" w:pos="709"/>
        </w:tabs>
        <w:suppressAutoHyphens/>
        <w:autoSpaceDE w:val="0"/>
        <w:ind w:left="426" w:hanging="426"/>
        <w:jc w:val="both"/>
        <w:rPr>
          <w:lang w:val="en-GB"/>
        </w:rPr>
      </w:pPr>
      <w:bookmarkStart w:id="95" w:name="_Ref418676977"/>
      <w:r w:rsidRPr="00134D73">
        <w:rPr>
          <w:bCs/>
          <w:lang w:val="en-GB"/>
        </w:rPr>
        <w:t xml:space="preserve">With </w:t>
      </w:r>
      <w:r w:rsidRPr="00134D73">
        <w:rPr>
          <w:lang w:val="en-GB"/>
        </w:rPr>
        <w:t>regard</w:t>
      </w:r>
      <w:r w:rsidRPr="00134D73">
        <w:rPr>
          <w:bCs/>
          <w:lang w:val="en-GB"/>
        </w:rPr>
        <w:t xml:space="preserve"> to the first part of the </w:t>
      </w:r>
      <w:r w:rsidRPr="00134D73">
        <w:rPr>
          <w:lang w:val="en-GB"/>
        </w:rPr>
        <w:t>procedural</w:t>
      </w:r>
      <w:r w:rsidRPr="00134D73">
        <w:rPr>
          <w:bCs/>
          <w:lang w:val="en-GB"/>
        </w:rPr>
        <w:t xml:space="preserve"> obligation, that is, discovering the whereabouts or determining the fate of </w:t>
      </w:r>
      <w:r w:rsidR="009D4828" w:rsidRPr="00134D73">
        <w:rPr>
          <w:lang w:val="en-GB"/>
        </w:rPr>
        <w:t xml:space="preserve">Mrs </w:t>
      </w:r>
      <w:proofErr w:type="spellStart"/>
      <w:r w:rsidR="009D4828" w:rsidRPr="00134D73">
        <w:rPr>
          <w:lang w:val="en-GB"/>
        </w:rPr>
        <w:t>Slavka</w:t>
      </w:r>
      <w:proofErr w:type="spellEnd"/>
      <w:r w:rsidR="009D4828" w:rsidRPr="00134D73">
        <w:rPr>
          <w:lang w:val="en-GB"/>
        </w:rPr>
        <w:t xml:space="preserve"> </w:t>
      </w:r>
      <w:proofErr w:type="spellStart"/>
      <w:r w:rsidR="009D4828" w:rsidRPr="00134D73">
        <w:rPr>
          <w:lang w:val="en-GB"/>
        </w:rPr>
        <w:t>Pantović</w:t>
      </w:r>
      <w:proofErr w:type="spellEnd"/>
      <w:r w:rsidR="009D4828" w:rsidRPr="00134D73">
        <w:rPr>
          <w:lang w:val="en-GB"/>
        </w:rPr>
        <w:t xml:space="preserve">, Mr </w:t>
      </w:r>
      <w:proofErr w:type="spellStart"/>
      <w:r w:rsidR="009D4828" w:rsidRPr="00134D73">
        <w:rPr>
          <w:lang w:val="en-GB"/>
        </w:rPr>
        <w:t>Milić</w:t>
      </w:r>
      <w:proofErr w:type="spellEnd"/>
      <w:r w:rsidR="009D4828" w:rsidRPr="00134D73">
        <w:rPr>
          <w:lang w:val="en-GB"/>
        </w:rPr>
        <w:t xml:space="preserve"> </w:t>
      </w:r>
      <w:proofErr w:type="spellStart"/>
      <w:r w:rsidR="009D4828" w:rsidRPr="00134D73">
        <w:rPr>
          <w:lang w:val="en-GB"/>
        </w:rPr>
        <w:t>Pantović</w:t>
      </w:r>
      <w:proofErr w:type="spellEnd"/>
      <w:r w:rsidR="009D4828" w:rsidRPr="00134D73">
        <w:rPr>
          <w:lang w:val="en-GB"/>
        </w:rPr>
        <w:t xml:space="preserve"> and Mrs </w:t>
      </w:r>
      <w:proofErr w:type="spellStart"/>
      <w:r w:rsidR="009D4828" w:rsidRPr="00134D73">
        <w:rPr>
          <w:lang w:val="en-GB"/>
        </w:rPr>
        <w:t>Mileva</w:t>
      </w:r>
      <w:proofErr w:type="spellEnd"/>
      <w:r w:rsidR="009D4828" w:rsidRPr="00134D73">
        <w:rPr>
          <w:lang w:val="en-GB"/>
        </w:rPr>
        <w:t xml:space="preserve"> </w:t>
      </w:r>
      <w:proofErr w:type="spellStart"/>
      <w:r w:rsidR="009D4828" w:rsidRPr="00134D73">
        <w:rPr>
          <w:lang w:val="en-GB"/>
        </w:rPr>
        <w:t>Pantović</w:t>
      </w:r>
      <w:proofErr w:type="spellEnd"/>
      <w:r w:rsidRPr="00134D73">
        <w:rPr>
          <w:lang w:val="en-GB"/>
        </w:rPr>
        <w:t>,</w:t>
      </w:r>
      <w:r w:rsidRPr="00134D73">
        <w:t xml:space="preserve"> the</w:t>
      </w:r>
      <w:r w:rsidRPr="00134D73">
        <w:rPr>
          <w:lang w:val="en-GB"/>
        </w:rPr>
        <w:t xml:space="preserve"> Panel notes that as established above, UNMIK became aware of the </w:t>
      </w:r>
      <w:r w:rsidR="001F0511" w:rsidRPr="00134D73">
        <w:rPr>
          <w:lang w:val="en-GB"/>
        </w:rPr>
        <w:t>disappearance</w:t>
      </w:r>
      <w:r w:rsidR="004162BE" w:rsidRPr="00134D73">
        <w:rPr>
          <w:lang w:val="en-GB"/>
        </w:rPr>
        <w:t xml:space="preserve"> of</w:t>
      </w:r>
      <w:r w:rsidR="009A6E2B" w:rsidRPr="00134D73">
        <w:t xml:space="preserve"> </w:t>
      </w:r>
      <w:r w:rsidR="009D4828" w:rsidRPr="00134D73">
        <w:rPr>
          <w:lang w:val="en-GB"/>
        </w:rPr>
        <w:t xml:space="preserve">Mrs </w:t>
      </w:r>
      <w:proofErr w:type="spellStart"/>
      <w:r w:rsidR="009D4828" w:rsidRPr="00134D73">
        <w:rPr>
          <w:lang w:val="en-GB"/>
        </w:rPr>
        <w:t>Slavka</w:t>
      </w:r>
      <w:proofErr w:type="spellEnd"/>
      <w:r w:rsidR="009D4828" w:rsidRPr="00134D73">
        <w:rPr>
          <w:lang w:val="en-GB"/>
        </w:rPr>
        <w:t xml:space="preserve"> </w:t>
      </w:r>
      <w:proofErr w:type="spellStart"/>
      <w:r w:rsidR="009D4828" w:rsidRPr="00134D73">
        <w:rPr>
          <w:lang w:val="en-GB"/>
        </w:rPr>
        <w:t>Pantović</w:t>
      </w:r>
      <w:proofErr w:type="spellEnd"/>
      <w:r w:rsidR="009D4828" w:rsidRPr="00134D73">
        <w:rPr>
          <w:lang w:val="en-GB"/>
        </w:rPr>
        <w:t xml:space="preserve"> and Mr </w:t>
      </w:r>
      <w:proofErr w:type="spellStart"/>
      <w:r w:rsidR="009D4828" w:rsidRPr="00134D73">
        <w:rPr>
          <w:lang w:val="en-GB"/>
        </w:rPr>
        <w:t>Milić</w:t>
      </w:r>
      <w:proofErr w:type="spellEnd"/>
      <w:r w:rsidR="009D4828" w:rsidRPr="00134D73">
        <w:rPr>
          <w:lang w:val="en-GB"/>
        </w:rPr>
        <w:t xml:space="preserve"> </w:t>
      </w:r>
      <w:proofErr w:type="spellStart"/>
      <w:r w:rsidR="009D4828" w:rsidRPr="00134D73">
        <w:rPr>
          <w:lang w:val="en-GB"/>
        </w:rPr>
        <w:t>Pantović</w:t>
      </w:r>
      <w:proofErr w:type="spellEnd"/>
      <w:r w:rsidR="009D4828" w:rsidRPr="00134D73">
        <w:rPr>
          <w:lang w:val="en-GB"/>
        </w:rPr>
        <w:t xml:space="preserve"> </w:t>
      </w:r>
      <w:r w:rsidR="009A6E2B" w:rsidRPr="00134D73">
        <w:rPr>
          <w:lang w:val="en-GB"/>
        </w:rPr>
        <w:t xml:space="preserve">sometime in </w:t>
      </w:r>
      <w:r w:rsidR="009D4828" w:rsidRPr="00134D73">
        <w:rPr>
          <w:lang w:val="en-GB"/>
        </w:rPr>
        <w:t xml:space="preserve">2002 and Mrs </w:t>
      </w:r>
      <w:proofErr w:type="spellStart"/>
      <w:r w:rsidR="009D4828" w:rsidRPr="00134D73">
        <w:rPr>
          <w:lang w:val="en-GB"/>
        </w:rPr>
        <w:t>Mileva</w:t>
      </w:r>
      <w:proofErr w:type="spellEnd"/>
      <w:r w:rsidR="009D4828" w:rsidRPr="00134D73">
        <w:rPr>
          <w:lang w:val="en-GB"/>
        </w:rPr>
        <w:t xml:space="preserve"> </w:t>
      </w:r>
      <w:proofErr w:type="spellStart"/>
      <w:r w:rsidR="009D4828" w:rsidRPr="00134D73">
        <w:rPr>
          <w:lang w:val="en-GB"/>
        </w:rPr>
        <w:t>Pantović</w:t>
      </w:r>
      <w:proofErr w:type="spellEnd"/>
      <w:r w:rsidR="009D4828" w:rsidRPr="00134D73">
        <w:rPr>
          <w:lang w:val="en-GB"/>
        </w:rPr>
        <w:t xml:space="preserve"> in 2003</w:t>
      </w:r>
      <w:r w:rsidR="009A6E2B" w:rsidRPr="00134D73">
        <w:rPr>
          <w:lang w:val="en-GB"/>
        </w:rPr>
        <w:t xml:space="preserve">, when the MPU opened a file into the matter (see § </w:t>
      </w:r>
      <w:r w:rsidR="009D4828" w:rsidRPr="00134D73">
        <w:rPr>
          <w:lang w:val="en-GB"/>
        </w:rPr>
        <w:fldChar w:fldCharType="begin"/>
      </w:r>
      <w:r w:rsidR="009D4828" w:rsidRPr="00134D73">
        <w:rPr>
          <w:lang w:val="en-GB"/>
        </w:rPr>
        <w:instrText xml:space="preserve"> REF _Ref418178825 \r \h  \* MERGEFORMAT </w:instrText>
      </w:r>
      <w:r w:rsidR="009D4828" w:rsidRPr="00134D73">
        <w:rPr>
          <w:lang w:val="en-GB"/>
        </w:rPr>
      </w:r>
      <w:r w:rsidR="009D4828" w:rsidRPr="00134D73">
        <w:rPr>
          <w:lang w:val="en-GB"/>
        </w:rPr>
        <w:fldChar w:fldCharType="separate"/>
      </w:r>
      <w:r w:rsidR="00AB2ED0" w:rsidRPr="00134D73">
        <w:rPr>
          <w:lang w:val="en-GB"/>
        </w:rPr>
        <w:t>31</w:t>
      </w:r>
      <w:r w:rsidR="009D4828" w:rsidRPr="00134D73">
        <w:rPr>
          <w:lang w:val="en-GB"/>
        </w:rPr>
        <w:fldChar w:fldCharType="end"/>
      </w:r>
      <w:r w:rsidR="009D4828" w:rsidRPr="00134D73">
        <w:rPr>
          <w:lang w:val="en-GB"/>
        </w:rPr>
        <w:t xml:space="preserve"> </w:t>
      </w:r>
      <w:r w:rsidR="009A6E2B" w:rsidRPr="00134D73">
        <w:rPr>
          <w:lang w:val="en-GB"/>
        </w:rPr>
        <w:t>above).</w:t>
      </w:r>
      <w:bookmarkEnd w:id="95"/>
      <w:r w:rsidR="009A6E2B" w:rsidRPr="00134D73">
        <w:rPr>
          <w:lang w:val="en-GB"/>
        </w:rPr>
        <w:t xml:space="preserve"> </w:t>
      </w:r>
    </w:p>
    <w:p w:rsidR="004162BE" w:rsidRPr="00134D73" w:rsidRDefault="004162BE" w:rsidP="003A3B1C">
      <w:pPr>
        <w:pStyle w:val="ListParagraph"/>
        <w:tabs>
          <w:tab w:val="num" w:pos="426"/>
        </w:tabs>
        <w:ind w:left="426" w:hanging="426"/>
      </w:pPr>
    </w:p>
    <w:p w:rsidR="00445981" w:rsidRPr="00134D73" w:rsidRDefault="00445981" w:rsidP="003A3B1C">
      <w:pPr>
        <w:numPr>
          <w:ilvl w:val="0"/>
          <w:numId w:val="2"/>
        </w:numPr>
        <w:tabs>
          <w:tab w:val="clear" w:pos="360"/>
          <w:tab w:val="num" w:pos="426"/>
          <w:tab w:val="left" w:pos="709"/>
        </w:tabs>
        <w:suppressAutoHyphens/>
        <w:autoSpaceDE w:val="0"/>
        <w:ind w:left="426" w:hanging="426"/>
        <w:jc w:val="both"/>
        <w:rPr>
          <w:lang w:val="en-GB"/>
        </w:rPr>
      </w:pPr>
      <w:r w:rsidRPr="00134D73">
        <w:t>The Panel notes the SRSG</w:t>
      </w:r>
      <w:r w:rsidR="008C5FB6" w:rsidRPr="00134D73">
        <w:t>’s argument</w:t>
      </w:r>
      <w:r w:rsidRPr="00134D73">
        <w:t xml:space="preserve"> that</w:t>
      </w:r>
      <w:r w:rsidR="009A6E2B" w:rsidRPr="00134D73">
        <w:t xml:space="preserve"> UNMIK Police </w:t>
      </w:r>
      <w:r w:rsidRPr="00134D73">
        <w:t>did open and pursue an invest</w:t>
      </w:r>
      <w:r w:rsidR="004162BE" w:rsidRPr="00134D73">
        <w:t xml:space="preserve">igation into the whereabouts of </w:t>
      </w:r>
      <w:r w:rsidR="00854D52" w:rsidRPr="00134D73">
        <w:rPr>
          <w:lang w:val="en-GB"/>
        </w:rPr>
        <w:t xml:space="preserve">Mrs </w:t>
      </w:r>
      <w:proofErr w:type="spellStart"/>
      <w:r w:rsidR="00854D52" w:rsidRPr="00134D73">
        <w:rPr>
          <w:lang w:val="en-GB"/>
        </w:rPr>
        <w:t>Slavka</w:t>
      </w:r>
      <w:proofErr w:type="spellEnd"/>
      <w:r w:rsidR="00854D52" w:rsidRPr="00134D73">
        <w:rPr>
          <w:lang w:val="en-GB"/>
        </w:rPr>
        <w:t xml:space="preserve"> </w:t>
      </w:r>
      <w:proofErr w:type="spellStart"/>
      <w:r w:rsidR="00854D52" w:rsidRPr="00134D73">
        <w:rPr>
          <w:lang w:val="en-GB"/>
        </w:rPr>
        <w:t>Pantović</w:t>
      </w:r>
      <w:proofErr w:type="spellEnd"/>
      <w:r w:rsidR="00854D52" w:rsidRPr="00134D73">
        <w:rPr>
          <w:lang w:val="en-GB"/>
        </w:rPr>
        <w:t xml:space="preserve">, </w:t>
      </w:r>
      <w:r w:rsidR="004162BE" w:rsidRPr="00134D73">
        <w:rPr>
          <w:lang w:val="en-GB"/>
        </w:rPr>
        <w:t xml:space="preserve">Mr </w:t>
      </w:r>
      <w:proofErr w:type="spellStart"/>
      <w:r w:rsidR="004162BE" w:rsidRPr="00134D73">
        <w:rPr>
          <w:lang w:val="en-GB"/>
        </w:rPr>
        <w:t>Milić</w:t>
      </w:r>
      <w:proofErr w:type="spellEnd"/>
      <w:r w:rsidR="004162BE" w:rsidRPr="00134D73">
        <w:rPr>
          <w:lang w:val="en-GB"/>
        </w:rPr>
        <w:t xml:space="preserve"> </w:t>
      </w:r>
      <w:proofErr w:type="spellStart"/>
      <w:r w:rsidR="004162BE" w:rsidRPr="00134D73">
        <w:rPr>
          <w:lang w:val="en-GB"/>
        </w:rPr>
        <w:t>Pantović</w:t>
      </w:r>
      <w:proofErr w:type="spellEnd"/>
      <w:r w:rsidR="004162BE" w:rsidRPr="00134D73">
        <w:rPr>
          <w:lang w:val="en-GB"/>
        </w:rPr>
        <w:t xml:space="preserve"> and Mrs </w:t>
      </w:r>
      <w:proofErr w:type="spellStart"/>
      <w:r w:rsidR="004162BE" w:rsidRPr="00134D73">
        <w:rPr>
          <w:lang w:val="en-GB"/>
        </w:rPr>
        <w:t>Mileva</w:t>
      </w:r>
      <w:proofErr w:type="spellEnd"/>
      <w:r w:rsidR="004162BE" w:rsidRPr="00134D73">
        <w:rPr>
          <w:lang w:val="en-GB"/>
        </w:rPr>
        <w:t xml:space="preserve"> </w:t>
      </w:r>
      <w:proofErr w:type="spellStart"/>
      <w:r w:rsidR="004162BE" w:rsidRPr="00134D73">
        <w:rPr>
          <w:lang w:val="en-GB"/>
        </w:rPr>
        <w:t>Pantović</w:t>
      </w:r>
      <w:proofErr w:type="spellEnd"/>
      <w:r w:rsidR="009A6E2B" w:rsidRPr="00134D73">
        <w:t xml:space="preserve">, but </w:t>
      </w:r>
      <w:r w:rsidR="008C5FB6" w:rsidRPr="00134D73">
        <w:t xml:space="preserve">it </w:t>
      </w:r>
      <w:r w:rsidR="009A6E2B" w:rsidRPr="00134D73">
        <w:t>“</w:t>
      </w:r>
      <w:r w:rsidR="004162BE" w:rsidRPr="00134D73">
        <w:t>did not culminate in the location and identification of the [missing persons’] mortal remains or the identification of the perpetrators</w:t>
      </w:r>
      <w:r w:rsidR="009A6E2B" w:rsidRPr="00134D73">
        <w:t xml:space="preserve">” </w:t>
      </w:r>
      <w:r w:rsidRPr="00134D73">
        <w:t xml:space="preserve">(see § </w:t>
      </w:r>
      <w:r w:rsidR="004162BE" w:rsidRPr="00134D73">
        <w:fldChar w:fldCharType="begin"/>
      </w:r>
      <w:r w:rsidR="004162BE" w:rsidRPr="00134D73">
        <w:instrText xml:space="preserve"> REF _Ref416962019 \r \h  \* MERGEFORMAT </w:instrText>
      </w:r>
      <w:r w:rsidR="004162BE" w:rsidRPr="00134D73">
        <w:fldChar w:fldCharType="separate"/>
      </w:r>
      <w:r w:rsidR="00AB2ED0" w:rsidRPr="00134D73">
        <w:t>67</w:t>
      </w:r>
      <w:r w:rsidR="004162BE" w:rsidRPr="00134D73">
        <w:fldChar w:fldCharType="end"/>
      </w:r>
      <w:r w:rsidR="004162BE" w:rsidRPr="00134D73">
        <w:t xml:space="preserve"> </w:t>
      </w:r>
      <w:r w:rsidRPr="00134D73">
        <w:t xml:space="preserve">above). </w:t>
      </w:r>
    </w:p>
    <w:p w:rsidR="00445981" w:rsidRPr="00134D73" w:rsidRDefault="00445981" w:rsidP="003A3B1C">
      <w:pPr>
        <w:pStyle w:val="ListParagraph"/>
        <w:tabs>
          <w:tab w:val="num" w:pos="426"/>
        </w:tabs>
        <w:ind w:left="426" w:hanging="426"/>
        <w:rPr>
          <w:lang w:val="en-GB"/>
        </w:rPr>
      </w:pPr>
    </w:p>
    <w:p w:rsidR="00A4015C" w:rsidRPr="00134D73" w:rsidRDefault="008C5FB6" w:rsidP="003A3B1C">
      <w:pPr>
        <w:numPr>
          <w:ilvl w:val="0"/>
          <w:numId w:val="2"/>
        </w:numPr>
        <w:tabs>
          <w:tab w:val="clear" w:pos="360"/>
          <w:tab w:val="num" w:pos="426"/>
          <w:tab w:val="left" w:pos="709"/>
        </w:tabs>
        <w:suppressAutoHyphens/>
        <w:autoSpaceDE w:val="0"/>
        <w:ind w:left="426" w:hanging="426"/>
        <w:jc w:val="both"/>
        <w:rPr>
          <w:color w:val="000000" w:themeColor="text1"/>
          <w:lang w:val="en-GB"/>
        </w:rPr>
      </w:pPr>
      <w:r w:rsidRPr="00134D73">
        <w:rPr>
          <w:lang w:val="en-GB"/>
        </w:rPr>
        <w:lastRenderedPageBreak/>
        <w:t>As mentioned above</w:t>
      </w:r>
      <w:r w:rsidR="00A3533C" w:rsidRPr="00134D73">
        <w:rPr>
          <w:lang w:val="en-GB"/>
        </w:rPr>
        <w:t>,</w:t>
      </w:r>
      <w:r w:rsidRPr="00134D73">
        <w:rPr>
          <w:lang w:val="en-GB"/>
        </w:rPr>
        <w:t xml:space="preserve"> (see § </w:t>
      </w:r>
      <w:r w:rsidRPr="00134D73">
        <w:rPr>
          <w:lang w:val="en-GB"/>
        </w:rPr>
        <w:fldChar w:fldCharType="begin"/>
      </w:r>
      <w:r w:rsidRPr="00134D73">
        <w:rPr>
          <w:lang w:val="en-GB"/>
        </w:rPr>
        <w:instrText xml:space="preserve"> REF _Ref418676977 \r \h </w:instrText>
      </w:r>
      <w:r w:rsidR="00A11A8F" w:rsidRPr="00134D73">
        <w:rPr>
          <w:lang w:val="en-GB"/>
        </w:rPr>
        <w:instrText xml:space="preserve"> \* MERGEFORMAT </w:instrText>
      </w:r>
      <w:r w:rsidRPr="00134D73">
        <w:rPr>
          <w:lang w:val="en-GB"/>
        </w:rPr>
      </w:r>
      <w:r w:rsidRPr="00134D73">
        <w:rPr>
          <w:lang w:val="en-GB"/>
        </w:rPr>
        <w:fldChar w:fldCharType="separate"/>
      </w:r>
      <w:r w:rsidR="00AB2ED0" w:rsidRPr="00134D73">
        <w:rPr>
          <w:lang w:val="en-GB"/>
        </w:rPr>
        <w:t>101</w:t>
      </w:r>
      <w:r w:rsidRPr="00134D73">
        <w:rPr>
          <w:lang w:val="en-GB"/>
        </w:rPr>
        <w:fldChar w:fldCharType="end"/>
      </w:r>
      <w:r w:rsidRPr="00134D73">
        <w:rPr>
          <w:lang w:val="en-GB"/>
        </w:rPr>
        <w:t xml:space="preserve"> above) </w:t>
      </w:r>
      <w:r w:rsidR="00445981" w:rsidRPr="00134D73">
        <w:rPr>
          <w:lang w:val="en-GB"/>
        </w:rPr>
        <w:t>the MPU</w:t>
      </w:r>
      <w:r w:rsidR="009A6E2B" w:rsidRPr="00134D73">
        <w:rPr>
          <w:lang w:val="en-GB"/>
        </w:rPr>
        <w:t xml:space="preserve"> evidently opened its case into</w:t>
      </w:r>
      <w:r w:rsidR="00445981" w:rsidRPr="00134D73">
        <w:rPr>
          <w:lang w:val="en-GB"/>
        </w:rPr>
        <w:t xml:space="preserve"> </w:t>
      </w:r>
      <w:r w:rsidR="004162BE" w:rsidRPr="00134D73">
        <w:rPr>
          <w:lang w:val="en-GB"/>
        </w:rPr>
        <w:t xml:space="preserve">the disappearance of Mrs </w:t>
      </w:r>
      <w:proofErr w:type="spellStart"/>
      <w:r w:rsidR="004162BE" w:rsidRPr="00134D73">
        <w:rPr>
          <w:lang w:val="en-GB"/>
        </w:rPr>
        <w:t>Slavka</w:t>
      </w:r>
      <w:proofErr w:type="spellEnd"/>
      <w:r w:rsidR="004162BE" w:rsidRPr="00134D73">
        <w:rPr>
          <w:lang w:val="en-GB"/>
        </w:rPr>
        <w:t xml:space="preserve"> </w:t>
      </w:r>
      <w:proofErr w:type="spellStart"/>
      <w:r w:rsidR="004162BE" w:rsidRPr="00134D73">
        <w:rPr>
          <w:lang w:val="en-GB"/>
        </w:rPr>
        <w:t>Pantović</w:t>
      </w:r>
      <w:proofErr w:type="spellEnd"/>
      <w:r w:rsidR="004162BE" w:rsidRPr="00134D73">
        <w:rPr>
          <w:lang w:val="en-GB"/>
        </w:rPr>
        <w:t xml:space="preserve"> and Mr </w:t>
      </w:r>
      <w:proofErr w:type="spellStart"/>
      <w:r w:rsidR="004162BE" w:rsidRPr="00134D73">
        <w:rPr>
          <w:lang w:val="en-GB"/>
        </w:rPr>
        <w:t>Milić</w:t>
      </w:r>
      <w:proofErr w:type="spellEnd"/>
      <w:r w:rsidR="004162BE" w:rsidRPr="00134D73">
        <w:rPr>
          <w:lang w:val="en-GB"/>
        </w:rPr>
        <w:t xml:space="preserve"> </w:t>
      </w:r>
      <w:proofErr w:type="spellStart"/>
      <w:r w:rsidR="004162BE" w:rsidRPr="00134D73">
        <w:rPr>
          <w:lang w:val="en-GB"/>
        </w:rPr>
        <w:t>Pantović</w:t>
      </w:r>
      <w:proofErr w:type="spellEnd"/>
      <w:r w:rsidR="004162BE" w:rsidRPr="00134D73">
        <w:rPr>
          <w:lang w:val="en-GB"/>
        </w:rPr>
        <w:t xml:space="preserve"> sometime in 2002 and </w:t>
      </w:r>
      <w:r w:rsidR="00DF0A28" w:rsidRPr="00134D73">
        <w:rPr>
          <w:lang w:val="en-GB"/>
        </w:rPr>
        <w:t xml:space="preserve">into the disappearance of </w:t>
      </w:r>
      <w:r w:rsidR="004162BE" w:rsidRPr="00134D73">
        <w:rPr>
          <w:lang w:val="en-GB"/>
        </w:rPr>
        <w:t xml:space="preserve">Mrs </w:t>
      </w:r>
      <w:proofErr w:type="spellStart"/>
      <w:r w:rsidR="004162BE" w:rsidRPr="00134D73">
        <w:rPr>
          <w:lang w:val="en-GB"/>
        </w:rPr>
        <w:t>Mileva</w:t>
      </w:r>
      <w:proofErr w:type="spellEnd"/>
      <w:r w:rsidR="004162BE" w:rsidRPr="00134D73">
        <w:rPr>
          <w:lang w:val="en-GB"/>
        </w:rPr>
        <w:t xml:space="preserve"> </w:t>
      </w:r>
      <w:proofErr w:type="spellStart"/>
      <w:r w:rsidR="004162BE" w:rsidRPr="00134D73">
        <w:rPr>
          <w:lang w:val="en-GB"/>
        </w:rPr>
        <w:t>Pantović</w:t>
      </w:r>
      <w:proofErr w:type="spellEnd"/>
      <w:r w:rsidR="004162BE" w:rsidRPr="00134D73">
        <w:rPr>
          <w:lang w:val="en-GB"/>
        </w:rPr>
        <w:t xml:space="preserve"> </w:t>
      </w:r>
      <w:r w:rsidR="00A3533C" w:rsidRPr="00134D73">
        <w:rPr>
          <w:lang w:val="en-GB"/>
        </w:rPr>
        <w:t xml:space="preserve">sometime </w:t>
      </w:r>
      <w:r w:rsidR="004162BE" w:rsidRPr="00134D73">
        <w:rPr>
          <w:lang w:val="en-GB"/>
        </w:rPr>
        <w:t>in 2003</w:t>
      </w:r>
      <w:r w:rsidR="009A6E2B" w:rsidRPr="00134D73">
        <w:t xml:space="preserve">. </w:t>
      </w:r>
      <w:r w:rsidR="009A6E2B" w:rsidRPr="00134D73">
        <w:rPr>
          <w:bCs/>
          <w:lang w:val="en-GB"/>
        </w:rPr>
        <w:t xml:space="preserve">The Panel notes that </w:t>
      </w:r>
      <w:r w:rsidRPr="00134D73">
        <w:rPr>
          <w:bCs/>
          <w:lang w:val="en-GB"/>
        </w:rPr>
        <w:t>by the time these cases were registered</w:t>
      </w:r>
      <w:r w:rsidR="009A6E2B" w:rsidRPr="00134D73">
        <w:rPr>
          <w:bCs/>
          <w:lang w:val="en-GB"/>
        </w:rPr>
        <w:t xml:space="preserve">, UNMIK Police possessed some </w:t>
      </w:r>
      <w:r w:rsidR="009A6E2B" w:rsidRPr="00134D73">
        <w:rPr>
          <w:bCs/>
          <w:color w:val="000000" w:themeColor="text1"/>
          <w:lang w:val="en-GB"/>
        </w:rPr>
        <w:t>information, including a</w:t>
      </w:r>
      <w:r w:rsidR="001F0511" w:rsidRPr="00134D73">
        <w:rPr>
          <w:bCs/>
          <w:color w:val="000000" w:themeColor="text1"/>
          <w:lang w:val="en-GB"/>
        </w:rPr>
        <w:t xml:space="preserve"> very</w:t>
      </w:r>
      <w:r w:rsidR="009A6E2B" w:rsidRPr="00134D73">
        <w:rPr>
          <w:bCs/>
          <w:color w:val="000000" w:themeColor="text1"/>
          <w:lang w:val="en-GB"/>
        </w:rPr>
        <w:t xml:space="preserve"> basic description of the </w:t>
      </w:r>
      <w:r w:rsidR="004162BE" w:rsidRPr="00134D73">
        <w:rPr>
          <w:lang w:val="en-GB"/>
        </w:rPr>
        <w:t>disappearance of</w:t>
      </w:r>
      <w:r w:rsidR="004162BE" w:rsidRPr="00134D73">
        <w:t xml:space="preserve"> </w:t>
      </w:r>
      <w:r w:rsidR="004162BE" w:rsidRPr="00134D73">
        <w:rPr>
          <w:lang w:val="en-GB"/>
        </w:rPr>
        <w:t xml:space="preserve">Mrs </w:t>
      </w:r>
      <w:proofErr w:type="spellStart"/>
      <w:r w:rsidR="004162BE" w:rsidRPr="00134D73">
        <w:rPr>
          <w:lang w:val="en-GB"/>
        </w:rPr>
        <w:t>Slavka</w:t>
      </w:r>
      <w:proofErr w:type="spellEnd"/>
      <w:r w:rsidR="004162BE" w:rsidRPr="00134D73">
        <w:rPr>
          <w:lang w:val="en-GB"/>
        </w:rPr>
        <w:t xml:space="preserve"> </w:t>
      </w:r>
      <w:proofErr w:type="spellStart"/>
      <w:r w:rsidR="004162BE" w:rsidRPr="00134D73">
        <w:rPr>
          <w:lang w:val="en-GB"/>
        </w:rPr>
        <w:t>Pantović</w:t>
      </w:r>
      <w:proofErr w:type="spellEnd"/>
      <w:r w:rsidR="004162BE" w:rsidRPr="00134D73">
        <w:rPr>
          <w:lang w:val="en-GB"/>
        </w:rPr>
        <w:t xml:space="preserve">, Mr </w:t>
      </w:r>
      <w:proofErr w:type="spellStart"/>
      <w:r w:rsidR="004162BE" w:rsidRPr="00134D73">
        <w:rPr>
          <w:lang w:val="en-GB"/>
        </w:rPr>
        <w:t>Milić</w:t>
      </w:r>
      <w:proofErr w:type="spellEnd"/>
      <w:r w:rsidR="004162BE" w:rsidRPr="00134D73">
        <w:rPr>
          <w:lang w:val="en-GB"/>
        </w:rPr>
        <w:t xml:space="preserve"> </w:t>
      </w:r>
      <w:proofErr w:type="spellStart"/>
      <w:r w:rsidR="004162BE" w:rsidRPr="00134D73">
        <w:rPr>
          <w:lang w:val="en-GB"/>
        </w:rPr>
        <w:t>Pantović</w:t>
      </w:r>
      <w:proofErr w:type="spellEnd"/>
      <w:r w:rsidR="004162BE" w:rsidRPr="00134D73">
        <w:rPr>
          <w:lang w:val="en-GB"/>
        </w:rPr>
        <w:t xml:space="preserve"> and Mrs </w:t>
      </w:r>
      <w:proofErr w:type="spellStart"/>
      <w:r w:rsidR="004162BE" w:rsidRPr="00134D73">
        <w:rPr>
          <w:lang w:val="en-GB"/>
        </w:rPr>
        <w:t>Mileva</w:t>
      </w:r>
      <w:proofErr w:type="spellEnd"/>
      <w:r w:rsidR="004162BE" w:rsidRPr="00134D73">
        <w:rPr>
          <w:lang w:val="en-GB"/>
        </w:rPr>
        <w:t xml:space="preserve"> </w:t>
      </w:r>
      <w:proofErr w:type="spellStart"/>
      <w:r w:rsidR="004162BE" w:rsidRPr="00134D73">
        <w:rPr>
          <w:lang w:val="en-GB"/>
        </w:rPr>
        <w:t>Pantović</w:t>
      </w:r>
      <w:proofErr w:type="spellEnd"/>
      <w:r w:rsidR="004162BE" w:rsidRPr="00134D73">
        <w:rPr>
          <w:lang w:val="en-GB"/>
        </w:rPr>
        <w:t xml:space="preserve"> as </w:t>
      </w:r>
      <w:r w:rsidR="009A6E2B" w:rsidRPr="00134D73">
        <w:t xml:space="preserve">well as </w:t>
      </w:r>
      <w:r w:rsidR="009A6E2B" w:rsidRPr="00134D73">
        <w:rPr>
          <w:lang w:val="en-GB"/>
        </w:rPr>
        <w:t>the</w:t>
      </w:r>
      <w:r w:rsidR="009A6E2B" w:rsidRPr="00134D73">
        <w:rPr>
          <w:bCs/>
          <w:color w:val="000000" w:themeColor="text1"/>
          <w:lang w:val="en-GB"/>
        </w:rPr>
        <w:t xml:space="preserve"> </w:t>
      </w:r>
      <w:r w:rsidR="009A6E2B" w:rsidRPr="00134D73">
        <w:rPr>
          <w:lang w:val="en-GB"/>
        </w:rPr>
        <w:t>name, address and telephone number of the complainant</w:t>
      </w:r>
      <w:r w:rsidR="0040170D" w:rsidRPr="00134D73">
        <w:rPr>
          <w:lang w:val="en-GB"/>
        </w:rPr>
        <w:t xml:space="preserve">, </w:t>
      </w:r>
      <w:r w:rsidR="004162BE" w:rsidRPr="00134D73">
        <w:rPr>
          <w:lang w:val="en-GB"/>
        </w:rPr>
        <w:t xml:space="preserve">and other family members </w:t>
      </w:r>
      <w:r w:rsidR="009A6E2B" w:rsidRPr="00134D73">
        <w:rPr>
          <w:lang w:val="en-GB"/>
        </w:rPr>
        <w:t>in Serbia proper (see §</w:t>
      </w:r>
      <w:r w:rsidR="001F3D3B" w:rsidRPr="00134D73">
        <w:rPr>
          <w:lang w:val="en-GB"/>
        </w:rPr>
        <w:t>§</w:t>
      </w:r>
      <w:r w:rsidR="009A6E2B" w:rsidRPr="00134D73">
        <w:rPr>
          <w:lang w:val="en-GB"/>
        </w:rPr>
        <w:t xml:space="preserve"> </w:t>
      </w:r>
      <w:r w:rsidR="009A6E2B" w:rsidRPr="00134D73">
        <w:rPr>
          <w:lang w:val="en-GB"/>
        </w:rPr>
        <w:fldChar w:fldCharType="begin"/>
      </w:r>
      <w:r w:rsidR="009A6E2B" w:rsidRPr="00134D73">
        <w:rPr>
          <w:lang w:val="en-GB"/>
        </w:rPr>
        <w:instrText xml:space="preserve"> REF _Ref413845941 \r \h </w:instrText>
      </w:r>
      <w:r w:rsidR="00854D52" w:rsidRPr="00134D73">
        <w:rPr>
          <w:lang w:val="en-GB"/>
        </w:rPr>
        <w:instrText xml:space="preserve"> \* MERGEFORMAT </w:instrText>
      </w:r>
      <w:r w:rsidR="009A6E2B" w:rsidRPr="00134D73">
        <w:rPr>
          <w:lang w:val="en-GB"/>
        </w:rPr>
      </w:r>
      <w:r w:rsidR="009A6E2B" w:rsidRPr="00134D73">
        <w:rPr>
          <w:lang w:val="en-GB"/>
        </w:rPr>
        <w:fldChar w:fldCharType="separate"/>
      </w:r>
      <w:r w:rsidR="00AB2ED0" w:rsidRPr="00134D73">
        <w:rPr>
          <w:lang w:val="en-GB"/>
        </w:rPr>
        <w:t>28</w:t>
      </w:r>
      <w:r w:rsidR="009A6E2B" w:rsidRPr="00134D73">
        <w:rPr>
          <w:lang w:val="en-GB"/>
        </w:rPr>
        <w:fldChar w:fldCharType="end"/>
      </w:r>
      <w:r w:rsidR="00134D73" w:rsidRPr="00134D73">
        <w:rPr>
          <w:lang w:val="en-GB"/>
        </w:rPr>
        <w:t xml:space="preserve">, </w:t>
      </w:r>
      <w:r w:rsidR="00134D73" w:rsidRPr="00134D73">
        <w:rPr>
          <w:lang w:val="en-GB"/>
        </w:rPr>
        <w:fldChar w:fldCharType="begin"/>
      </w:r>
      <w:r w:rsidR="00134D73" w:rsidRPr="00134D73">
        <w:rPr>
          <w:lang w:val="en-GB"/>
        </w:rPr>
        <w:instrText xml:space="preserve"> REF _Ref419388060 \r \h </w:instrText>
      </w:r>
      <w:r w:rsidR="00134D73">
        <w:rPr>
          <w:lang w:val="en-GB"/>
        </w:rPr>
        <w:instrText xml:space="preserve"> \* MERGEFORMAT </w:instrText>
      </w:r>
      <w:r w:rsidR="00134D73" w:rsidRPr="00134D73">
        <w:rPr>
          <w:lang w:val="en-GB"/>
        </w:rPr>
      </w:r>
      <w:r w:rsidR="00134D73" w:rsidRPr="00134D73">
        <w:rPr>
          <w:lang w:val="en-GB"/>
        </w:rPr>
        <w:fldChar w:fldCharType="separate"/>
      </w:r>
      <w:r w:rsidR="00134D73" w:rsidRPr="00134D73">
        <w:rPr>
          <w:lang w:val="en-GB"/>
        </w:rPr>
        <w:t>29</w:t>
      </w:r>
      <w:r w:rsidR="00134D73" w:rsidRPr="00134D73">
        <w:rPr>
          <w:lang w:val="en-GB"/>
        </w:rPr>
        <w:fldChar w:fldCharType="end"/>
      </w:r>
      <w:r w:rsidR="001F3D3B" w:rsidRPr="00134D73">
        <w:rPr>
          <w:lang w:val="en-GB"/>
        </w:rPr>
        <w:t xml:space="preserve"> and </w:t>
      </w:r>
      <w:r w:rsidR="00134D73" w:rsidRPr="00134D73">
        <w:rPr>
          <w:lang w:val="en-GB"/>
        </w:rPr>
        <w:fldChar w:fldCharType="begin"/>
      </w:r>
      <w:r w:rsidR="00134D73" w:rsidRPr="00134D73">
        <w:rPr>
          <w:lang w:val="en-GB"/>
        </w:rPr>
        <w:instrText xml:space="preserve"> REF _Ref419388079 \r \h </w:instrText>
      </w:r>
      <w:r w:rsidR="00134D73">
        <w:rPr>
          <w:lang w:val="en-GB"/>
        </w:rPr>
        <w:instrText xml:space="preserve"> \* MERGEFORMAT </w:instrText>
      </w:r>
      <w:r w:rsidR="00134D73" w:rsidRPr="00134D73">
        <w:rPr>
          <w:lang w:val="en-GB"/>
        </w:rPr>
      </w:r>
      <w:r w:rsidR="00134D73" w:rsidRPr="00134D73">
        <w:rPr>
          <w:lang w:val="en-GB"/>
        </w:rPr>
        <w:fldChar w:fldCharType="separate"/>
      </w:r>
      <w:r w:rsidR="00134D73" w:rsidRPr="00134D73">
        <w:rPr>
          <w:lang w:val="en-GB"/>
        </w:rPr>
        <w:t>30</w:t>
      </w:r>
      <w:r w:rsidR="00134D73" w:rsidRPr="00134D73">
        <w:rPr>
          <w:lang w:val="en-GB"/>
        </w:rPr>
        <w:fldChar w:fldCharType="end"/>
      </w:r>
      <w:r w:rsidR="009A6E2B" w:rsidRPr="00134D73">
        <w:rPr>
          <w:lang w:val="en-GB"/>
        </w:rPr>
        <w:t xml:space="preserve"> above). </w:t>
      </w:r>
      <w:r w:rsidR="003A3B1C" w:rsidRPr="00134D73">
        <w:rPr>
          <w:lang w:val="en-GB"/>
        </w:rPr>
        <w:t>T</w:t>
      </w:r>
      <w:r w:rsidR="0040170D" w:rsidRPr="00134D73">
        <w:rPr>
          <w:color w:val="000000" w:themeColor="text1"/>
          <w:lang w:val="en-GB"/>
        </w:rPr>
        <w:t>he file show</w:t>
      </w:r>
      <w:r w:rsidR="00DF0A28" w:rsidRPr="00134D73">
        <w:rPr>
          <w:color w:val="000000" w:themeColor="text1"/>
          <w:lang w:val="en-GB"/>
        </w:rPr>
        <w:t>s</w:t>
      </w:r>
      <w:r w:rsidR="0040170D" w:rsidRPr="00134D73">
        <w:rPr>
          <w:color w:val="000000" w:themeColor="text1"/>
          <w:lang w:val="en-GB"/>
        </w:rPr>
        <w:t xml:space="preserve"> </w:t>
      </w:r>
      <w:r w:rsidR="001F3D3B" w:rsidRPr="00134D73">
        <w:rPr>
          <w:color w:val="000000" w:themeColor="text1"/>
          <w:lang w:val="en-GB"/>
        </w:rPr>
        <w:t>contact was established with a relative</w:t>
      </w:r>
      <w:r w:rsidR="0040170D" w:rsidRPr="00134D73">
        <w:rPr>
          <w:color w:val="000000" w:themeColor="text1"/>
          <w:lang w:val="en-GB"/>
        </w:rPr>
        <w:t xml:space="preserve"> of Mr </w:t>
      </w:r>
      <w:proofErr w:type="spellStart"/>
      <w:r w:rsidR="0040170D" w:rsidRPr="00134D73">
        <w:rPr>
          <w:color w:val="000000" w:themeColor="text1"/>
          <w:lang w:val="en-GB"/>
        </w:rPr>
        <w:t>Milić</w:t>
      </w:r>
      <w:proofErr w:type="spellEnd"/>
      <w:r w:rsidR="0040170D" w:rsidRPr="00134D73">
        <w:rPr>
          <w:color w:val="000000" w:themeColor="text1"/>
          <w:lang w:val="en-GB"/>
        </w:rPr>
        <w:t xml:space="preserve"> </w:t>
      </w:r>
      <w:proofErr w:type="spellStart"/>
      <w:r w:rsidR="0040170D" w:rsidRPr="00134D73">
        <w:rPr>
          <w:color w:val="000000" w:themeColor="text1"/>
          <w:lang w:val="en-GB"/>
        </w:rPr>
        <w:t>Pantović</w:t>
      </w:r>
      <w:proofErr w:type="spellEnd"/>
      <w:r w:rsidR="001F3D3B" w:rsidRPr="00134D73">
        <w:rPr>
          <w:color w:val="000000" w:themeColor="text1"/>
          <w:lang w:val="en-GB"/>
        </w:rPr>
        <w:t>, Ms D.P.,</w:t>
      </w:r>
      <w:r w:rsidR="00DF0A28" w:rsidRPr="00134D73">
        <w:rPr>
          <w:color w:val="000000" w:themeColor="text1"/>
          <w:lang w:val="en-GB"/>
        </w:rPr>
        <w:t xml:space="preserve"> on an unspecified date</w:t>
      </w:r>
      <w:r w:rsidR="0040170D" w:rsidRPr="00134D73">
        <w:rPr>
          <w:color w:val="000000" w:themeColor="text1"/>
          <w:lang w:val="en-GB"/>
        </w:rPr>
        <w:t xml:space="preserve"> in an attempt to i</w:t>
      </w:r>
      <w:r w:rsidR="00676392" w:rsidRPr="00134D73">
        <w:rPr>
          <w:color w:val="000000" w:themeColor="text1"/>
          <w:lang w:val="en-GB"/>
        </w:rPr>
        <w:t xml:space="preserve">dentify the </w:t>
      </w:r>
      <w:r w:rsidR="00D250D1" w:rsidRPr="00134D73">
        <w:rPr>
          <w:color w:val="000000" w:themeColor="text1"/>
          <w:lang w:val="en-GB"/>
        </w:rPr>
        <w:t xml:space="preserve">mortal </w:t>
      </w:r>
      <w:r w:rsidR="00676392" w:rsidRPr="00134D73">
        <w:rPr>
          <w:color w:val="000000" w:themeColor="text1"/>
          <w:lang w:val="en-GB"/>
        </w:rPr>
        <w:t>remains and some items</w:t>
      </w:r>
      <w:r w:rsidR="0040170D" w:rsidRPr="00134D73">
        <w:rPr>
          <w:color w:val="000000" w:themeColor="text1"/>
          <w:lang w:val="en-GB"/>
        </w:rPr>
        <w:t xml:space="preserve"> found with </w:t>
      </w:r>
      <w:r w:rsidR="00DF0A28" w:rsidRPr="00134D73">
        <w:rPr>
          <w:color w:val="000000" w:themeColor="text1"/>
          <w:lang w:val="en-GB"/>
        </w:rPr>
        <w:t xml:space="preserve">a </w:t>
      </w:r>
      <w:r w:rsidR="0040170D" w:rsidRPr="00134D73">
        <w:rPr>
          <w:color w:val="000000" w:themeColor="text1"/>
          <w:lang w:val="en-GB"/>
        </w:rPr>
        <w:t>body</w:t>
      </w:r>
      <w:r w:rsidR="00DF0A28" w:rsidRPr="00134D73">
        <w:rPr>
          <w:color w:val="000000" w:themeColor="text1"/>
          <w:lang w:val="en-GB"/>
        </w:rPr>
        <w:t xml:space="preserve"> exhumed from a gravesite. </w:t>
      </w:r>
    </w:p>
    <w:p w:rsidR="00FA7F3B" w:rsidRPr="00134D73" w:rsidRDefault="00FA7F3B" w:rsidP="00FA7F3B">
      <w:pPr>
        <w:pStyle w:val="ListParagraph"/>
        <w:rPr>
          <w:color w:val="000000" w:themeColor="text1"/>
          <w:lang w:val="en-GB"/>
        </w:rPr>
      </w:pPr>
    </w:p>
    <w:p w:rsidR="00A4015C" w:rsidRPr="00134D73" w:rsidRDefault="00155F50" w:rsidP="003A3B1C">
      <w:pPr>
        <w:numPr>
          <w:ilvl w:val="0"/>
          <w:numId w:val="2"/>
        </w:numPr>
        <w:tabs>
          <w:tab w:val="clear" w:pos="360"/>
          <w:tab w:val="num" w:pos="426"/>
          <w:tab w:val="left" w:pos="709"/>
        </w:tabs>
        <w:suppressAutoHyphens/>
        <w:autoSpaceDE w:val="0"/>
        <w:ind w:left="426" w:hanging="426"/>
        <w:jc w:val="both"/>
        <w:rPr>
          <w:color w:val="FF0000"/>
          <w:lang w:val="en-GB"/>
        </w:rPr>
      </w:pPr>
      <w:r w:rsidRPr="00134D73">
        <w:rPr>
          <w:color w:val="000000" w:themeColor="text1"/>
          <w:lang w:val="en-GB"/>
        </w:rPr>
        <w:t>The Panel also notes that</w:t>
      </w:r>
      <w:r w:rsidR="003A3B1C" w:rsidRPr="00134D73">
        <w:rPr>
          <w:color w:val="000000" w:themeColor="text1"/>
          <w:lang w:val="en-GB"/>
        </w:rPr>
        <w:t>,</w:t>
      </w:r>
      <w:r w:rsidRPr="00134D73">
        <w:rPr>
          <w:color w:val="000000" w:themeColor="text1"/>
          <w:lang w:val="en-GB"/>
        </w:rPr>
        <w:t xml:space="preserve"> </w:t>
      </w:r>
      <w:r w:rsidR="001F3D3B" w:rsidRPr="00134D73">
        <w:rPr>
          <w:color w:val="000000" w:themeColor="text1"/>
          <w:lang w:val="en-GB"/>
        </w:rPr>
        <w:t xml:space="preserve">although </w:t>
      </w:r>
      <w:r w:rsidR="00CE74BC" w:rsidRPr="00134D73">
        <w:rPr>
          <w:color w:val="000000" w:themeColor="text1"/>
          <w:lang w:val="en-GB"/>
        </w:rPr>
        <w:t>some</w:t>
      </w:r>
      <w:r w:rsidRPr="00134D73">
        <w:rPr>
          <w:color w:val="000000" w:themeColor="text1"/>
          <w:lang w:val="en-GB"/>
        </w:rPr>
        <w:t xml:space="preserve"> blood samples were taken and sent for DNA comparison,</w:t>
      </w:r>
      <w:r w:rsidR="001F3D3B" w:rsidRPr="00134D73">
        <w:rPr>
          <w:color w:val="000000" w:themeColor="text1"/>
          <w:lang w:val="en-GB"/>
        </w:rPr>
        <w:t xml:space="preserve"> no identification by DNA has taken place so far</w:t>
      </w:r>
      <w:r w:rsidRPr="00134D73">
        <w:rPr>
          <w:color w:val="000000" w:themeColor="text1"/>
          <w:lang w:val="en-GB"/>
        </w:rPr>
        <w:t xml:space="preserve"> (see § </w:t>
      </w:r>
      <w:r w:rsidRPr="00134D73">
        <w:rPr>
          <w:color w:val="000000" w:themeColor="text1"/>
          <w:lang w:val="en-GB"/>
        </w:rPr>
        <w:fldChar w:fldCharType="begin"/>
      </w:r>
      <w:r w:rsidRPr="00134D73">
        <w:rPr>
          <w:color w:val="000000" w:themeColor="text1"/>
          <w:lang w:val="en-GB"/>
        </w:rPr>
        <w:instrText xml:space="preserve"> REF _Ref418239588 \r \h  \* MERGEFORMAT </w:instrText>
      </w:r>
      <w:r w:rsidRPr="00134D73">
        <w:rPr>
          <w:color w:val="000000" w:themeColor="text1"/>
          <w:lang w:val="en-GB"/>
        </w:rPr>
      </w:r>
      <w:r w:rsidRPr="00134D73">
        <w:rPr>
          <w:color w:val="000000" w:themeColor="text1"/>
          <w:lang w:val="en-GB"/>
        </w:rPr>
        <w:fldChar w:fldCharType="separate"/>
      </w:r>
      <w:r w:rsidR="00AB2ED0" w:rsidRPr="00134D73">
        <w:rPr>
          <w:color w:val="000000" w:themeColor="text1"/>
          <w:lang w:val="en-GB"/>
        </w:rPr>
        <w:t>40</w:t>
      </w:r>
      <w:r w:rsidRPr="00134D73">
        <w:rPr>
          <w:color w:val="000000" w:themeColor="text1"/>
          <w:lang w:val="en-GB"/>
        </w:rPr>
        <w:fldChar w:fldCharType="end"/>
      </w:r>
      <w:r w:rsidRPr="00134D73">
        <w:rPr>
          <w:color w:val="000000" w:themeColor="text1"/>
          <w:lang w:val="en-GB"/>
        </w:rPr>
        <w:t xml:space="preserve"> above). </w:t>
      </w:r>
      <w:r w:rsidR="001F3D3B" w:rsidRPr="00134D73">
        <w:rPr>
          <w:color w:val="000000" w:themeColor="text1"/>
          <w:lang w:val="en-GB"/>
        </w:rPr>
        <w:t>T</w:t>
      </w:r>
      <w:r w:rsidR="00CD655E" w:rsidRPr="00134D73">
        <w:rPr>
          <w:color w:val="000000" w:themeColor="text1"/>
          <w:lang w:val="en-GB"/>
        </w:rPr>
        <w:t xml:space="preserve">here was a suspicion that the mortal remains coded FSA/001B </w:t>
      </w:r>
      <w:r w:rsidR="001F3D3B" w:rsidRPr="00134D73">
        <w:rPr>
          <w:color w:val="000000" w:themeColor="text1"/>
          <w:lang w:val="en-GB"/>
        </w:rPr>
        <w:t xml:space="preserve">were </w:t>
      </w:r>
      <w:r w:rsidR="00CD655E" w:rsidRPr="00134D73">
        <w:rPr>
          <w:color w:val="000000" w:themeColor="text1"/>
          <w:lang w:val="en-GB"/>
        </w:rPr>
        <w:t xml:space="preserve">those of Mr </w:t>
      </w:r>
      <w:proofErr w:type="spellStart"/>
      <w:r w:rsidR="00CD655E" w:rsidRPr="00134D73">
        <w:rPr>
          <w:color w:val="000000" w:themeColor="text1"/>
          <w:lang w:val="en-GB"/>
        </w:rPr>
        <w:t>Milić</w:t>
      </w:r>
      <w:proofErr w:type="spellEnd"/>
      <w:r w:rsidR="00CD655E" w:rsidRPr="00134D73">
        <w:rPr>
          <w:color w:val="000000" w:themeColor="text1"/>
          <w:lang w:val="en-GB"/>
        </w:rPr>
        <w:t xml:space="preserve"> </w:t>
      </w:r>
      <w:proofErr w:type="spellStart"/>
      <w:r w:rsidR="00CD655E" w:rsidRPr="00134D73">
        <w:rPr>
          <w:color w:val="000000" w:themeColor="text1"/>
          <w:lang w:val="en-GB"/>
        </w:rPr>
        <w:t>Pantović</w:t>
      </w:r>
      <w:proofErr w:type="spellEnd"/>
      <w:r w:rsidR="003A3B1C" w:rsidRPr="00134D73">
        <w:rPr>
          <w:color w:val="000000" w:themeColor="text1"/>
          <w:lang w:val="en-GB"/>
        </w:rPr>
        <w:t>,</w:t>
      </w:r>
      <w:r w:rsidR="001F3D3B" w:rsidRPr="00134D73">
        <w:rPr>
          <w:color w:val="000000" w:themeColor="text1"/>
          <w:lang w:val="en-GB"/>
        </w:rPr>
        <w:t xml:space="preserve"> but the identification by traditional means was negative</w:t>
      </w:r>
      <w:r w:rsidR="00CD655E" w:rsidRPr="00134D73">
        <w:rPr>
          <w:color w:val="000000" w:themeColor="text1"/>
          <w:lang w:val="en-GB"/>
        </w:rPr>
        <w:t xml:space="preserve"> (see §</w:t>
      </w:r>
      <w:r w:rsidR="00134D73" w:rsidRPr="00134D73">
        <w:rPr>
          <w:color w:val="000000" w:themeColor="text1"/>
          <w:lang w:val="en-GB"/>
        </w:rPr>
        <w:fldChar w:fldCharType="begin"/>
      </w:r>
      <w:r w:rsidR="00134D73" w:rsidRPr="00134D73">
        <w:rPr>
          <w:color w:val="000000" w:themeColor="text1"/>
          <w:lang w:val="en-GB"/>
        </w:rPr>
        <w:instrText xml:space="preserve"> REF _Ref418085216 \r \h </w:instrText>
      </w:r>
      <w:r w:rsidR="00134D73">
        <w:rPr>
          <w:color w:val="000000" w:themeColor="text1"/>
          <w:lang w:val="en-GB"/>
        </w:rPr>
        <w:instrText xml:space="preserve"> \* MERGEFORMAT </w:instrText>
      </w:r>
      <w:r w:rsidR="00134D73" w:rsidRPr="00134D73">
        <w:rPr>
          <w:color w:val="000000" w:themeColor="text1"/>
          <w:lang w:val="en-GB"/>
        </w:rPr>
      </w:r>
      <w:r w:rsidR="00134D73" w:rsidRPr="00134D73">
        <w:rPr>
          <w:color w:val="000000" w:themeColor="text1"/>
          <w:lang w:val="en-GB"/>
        </w:rPr>
        <w:fldChar w:fldCharType="separate"/>
      </w:r>
      <w:r w:rsidR="00134D73" w:rsidRPr="00134D73">
        <w:rPr>
          <w:color w:val="000000" w:themeColor="text1"/>
          <w:lang w:val="en-GB"/>
        </w:rPr>
        <w:t>37</w:t>
      </w:r>
      <w:r w:rsidR="00134D73" w:rsidRPr="00134D73">
        <w:rPr>
          <w:color w:val="000000" w:themeColor="text1"/>
          <w:lang w:val="en-GB"/>
        </w:rPr>
        <w:fldChar w:fldCharType="end"/>
      </w:r>
      <w:r w:rsidR="00134D73" w:rsidRPr="00134D73">
        <w:rPr>
          <w:color w:val="000000" w:themeColor="text1"/>
          <w:lang w:val="en-GB"/>
        </w:rPr>
        <w:t xml:space="preserve"> </w:t>
      </w:r>
      <w:r w:rsidR="00CD655E" w:rsidRPr="00134D73">
        <w:rPr>
          <w:color w:val="000000" w:themeColor="text1"/>
          <w:lang w:val="en-GB"/>
        </w:rPr>
        <w:t xml:space="preserve">, </w:t>
      </w:r>
      <w:r w:rsidR="00134D73" w:rsidRPr="00134D73">
        <w:rPr>
          <w:color w:val="000000" w:themeColor="text1"/>
          <w:lang w:val="en-GB"/>
        </w:rPr>
        <w:fldChar w:fldCharType="begin"/>
      </w:r>
      <w:r w:rsidR="00134D73" w:rsidRPr="00134D73">
        <w:rPr>
          <w:color w:val="000000" w:themeColor="text1"/>
          <w:lang w:val="en-GB"/>
        </w:rPr>
        <w:instrText xml:space="preserve"> REF _Ref419388109 \r \h </w:instrText>
      </w:r>
      <w:r w:rsidR="00134D73">
        <w:rPr>
          <w:color w:val="000000" w:themeColor="text1"/>
          <w:lang w:val="en-GB"/>
        </w:rPr>
        <w:instrText xml:space="preserve"> \* MERGEFORMAT </w:instrText>
      </w:r>
      <w:r w:rsidR="00134D73" w:rsidRPr="00134D73">
        <w:rPr>
          <w:color w:val="000000" w:themeColor="text1"/>
          <w:lang w:val="en-GB"/>
        </w:rPr>
      </w:r>
      <w:r w:rsidR="00134D73" w:rsidRPr="00134D73">
        <w:rPr>
          <w:color w:val="000000" w:themeColor="text1"/>
          <w:lang w:val="en-GB"/>
        </w:rPr>
        <w:fldChar w:fldCharType="separate"/>
      </w:r>
      <w:r w:rsidR="00134D73" w:rsidRPr="00134D73">
        <w:rPr>
          <w:color w:val="000000" w:themeColor="text1"/>
          <w:lang w:val="en-GB"/>
        </w:rPr>
        <w:t>38</w:t>
      </w:r>
      <w:r w:rsidR="00134D73" w:rsidRPr="00134D73">
        <w:rPr>
          <w:color w:val="000000" w:themeColor="text1"/>
          <w:lang w:val="en-GB"/>
        </w:rPr>
        <w:fldChar w:fldCharType="end"/>
      </w:r>
      <w:r w:rsidR="00134D73" w:rsidRPr="00134D73">
        <w:rPr>
          <w:color w:val="000000" w:themeColor="text1"/>
          <w:lang w:val="en-GB"/>
        </w:rPr>
        <w:t xml:space="preserve"> </w:t>
      </w:r>
      <w:r w:rsidR="00CD655E" w:rsidRPr="00134D73">
        <w:rPr>
          <w:color w:val="000000" w:themeColor="text1"/>
          <w:lang w:val="en-GB"/>
        </w:rPr>
        <w:t xml:space="preserve">and </w:t>
      </w:r>
      <w:r w:rsidR="00134D73" w:rsidRPr="00134D73">
        <w:rPr>
          <w:color w:val="000000" w:themeColor="text1"/>
          <w:lang w:val="en-GB"/>
        </w:rPr>
        <w:fldChar w:fldCharType="begin"/>
      </w:r>
      <w:r w:rsidR="00134D73" w:rsidRPr="00134D73">
        <w:rPr>
          <w:color w:val="000000" w:themeColor="text1"/>
          <w:lang w:val="en-GB"/>
        </w:rPr>
        <w:instrText xml:space="preserve"> REF _Ref419388124 \r \h </w:instrText>
      </w:r>
      <w:r w:rsidR="00134D73">
        <w:rPr>
          <w:color w:val="000000" w:themeColor="text1"/>
          <w:lang w:val="en-GB"/>
        </w:rPr>
        <w:instrText xml:space="preserve"> \* MERGEFORMAT </w:instrText>
      </w:r>
      <w:r w:rsidR="00134D73" w:rsidRPr="00134D73">
        <w:rPr>
          <w:color w:val="000000" w:themeColor="text1"/>
          <w:lang w:val="en-GB"/>
        </w:rPr>
      </w:r>
      <w:r w:rsidR="00134D73" w:rsidRPr="00134D73">
        <w:rPr>
          <w:color w:val="000000" w:themeColor="text1"/>
          <w:lang w:val="en-GB"/>
        </w:rPr>
        <w:fldChar w:fldCharType="separate"/>
      </w:r>
      <w:r w:rsidR="00134D73" w:rsidRPr="00134D73">
        <w:rPr>
          <w:color w:val="000000" w:themeColor="text1"/>
          <w:lang w:val="en-GB"/>
        </w:rPr>
        <w:t>39</w:t>
      </w:r>
      <w:r w:rsidR="00134D73" w:rsidRPr="00134D73">
        <w:rPr>
          <w:color w:val="000000" w:themeColor="text1"/>
          <w:lang w:val="en-GB"/>
        </w:rPr>
        <w:fldChar w:fldCharType="end"/>
      </w:r>
      <w:r w:rsidR="00134D73" w:rsidRPr="00134D73">
        <w:rPr>
          <w:color w:val="000000" w:themeColor="text1"/>
          <w:lang w:val="en-GB"/>
        </w:rPr>
        <w:t xml:space="preserve"> </w:t>
      </w:r>
      <w:r w:rsidR="00CD655E" w:rsidRPr="00134D73">
        <w:rPr>
          <w:color w:val="000000" w:themeColor="text1"/>
          <w:lang w:val="en-GB"/>
        </w:rPr>
        <w:t>above).</w:t>
      </w:r>
      <w:r w:rsidR="00F93EE2" w:rsidRPr="00134D73">
        <w:rPr>
          <w:color w:val="000000" w:themeColor="text1"/>
          <w:lang w:val="en-GB"/>
        </w:rPr>
        <w:t xml:space="preserve"> </w:t>
      </w:r>
      <w:r w:rsidR="00F93EE2" w:rsidRPr="00134D73">
        <w:rPr>
          <w:lang w:val="en-GB"/>
        </w:rPr>
        <w:t xml:space="preserve">This </w:t>
      </w:r>
      <w:r w:rsidR="003A3B1C" w:rsidRPr="00134D73">
        <w:rPr>
          <w:lang w:val="en-GB"/>
        </w:rPr>
        <w:t xml:space="preserve">left the DNA identification as the only way to identify his mortal remains. </w:t>
      </w:r>
      <w:r w:rsidR="00F93EE2" w:rsidRPr="00134D73">
        <w:rPr>
          <w:lang w:val="en-GB"/>
        </w:rPr>
        <w:t xml:space="preserve">However, according to the </w:t>
      </w:r>
      <w:r w:rsidR="00CE74BC" w:rsidRPr="00134D73">
        <w:rPr>
          <w:bCs/>
          <w:lang w:val="en-GB"/>
        </w:rPr>
        <w:t>ICMP database, the</w:t>
      </w:r>
      <w:r w:rsidR="00F93EE2" w:rsidRPr="00134D73">
        <w:rPr>
          <w:bCs/>
          <w:lang w:val="en-GB"/>
        </w:rPr>
        <w:t xml:space="preserve"> DNA reference samples that would </w:t>
      </w:r>
      <w:r w:rsidR="003A3B1C" w:rsidRPr="00134D73">
        <w:rPr>
          <w:bCs/>
          <w:lang w:val="en-GB"/>
        </w:rPr>
        <w:t xml:space="preserve">enable the </w:t>
      </w:r>
      <w:r w:rsidR="00F93EE2" w:rsidRPr="00134D73">
        <w:rPr>
          <w:bCs/>
          <w:lang w:val="en-GB"/>
        </w:rPr>
        <w:t xml:space="preserve">identification </w:t>
      </w:r>
      <w:r w:rsidR="003A3B1C" w:rsidRPr="00134D73">
        <w:rPr>
          <w:bCs/>
          <w:lang w:val="en-GB"/>
        </w:rPr>
        <w:t>of</w:t>
      </w:r>
      <w:r w:rsidR="00176699" w:rsidRPr="00134D73">
        <w:rPr>
          <w:bCs/>
          <w:lang w:val="en-GB"/>
        </w:rPr>
        <w:t xml:space="preserve"> Mr </w:t>
      </w:r>
      <w:proofErr w:type="spellStart"/>
      <w:r w:rsidR="00176699" w:rsidRPr="00134D73">
        <w:rPr>
          <w:bCs/>
          <w:lang w:val="en-GB"/>
        </w:rPr>
        <w:t>Milić</w:t>
      </w:r>
      <w:proofErr w:type="spellEnd"/>
      <w:r w:rsidR="00176699" w:rsidRPr="00134D73">
        <w:rPr>
          <w:bCs/>
          <w:lang w:val="en-GB"/>
        </w:rPr>
        <w:t xml:space="preserve"> </w:t>
      </w:r>
      <w:proofErr w:type="spellStart"/>
      <w:r w:rsidR="00176699" w:rsidRPr="00134D73">
        <w:rPr>
          <w:bCs/>
          <w:lang w:val="en-GB"/>
        </w:rPr>
        <w:t>Pantović</w:t>
      </w:r>
      <w:proofErr w:type="spellEnd"/>
      <w:r w:rsidR="00176699" w:rsidRPr="00134D73">
        <w:rPr>
          <w:bCs/>
          <w:lang w:val="en-GB"/>
        </w:rPr>
        <w:t xml:space="preserve">, Mrs </w:t>
      </w:r>
      <w:proofErr w:type="spellStart"/>
      <w:r w:rsidR="00176699" w:rsidRPr="00134D73">
        <w:rPr>
          <w:bCs/>
          <w:lang w:val="en-GB"/>
        </w:rPr>
        <w:t>Mileva</w:t>
      </w:r>
      <w:proofErr w:type="spellEnd"/>
      <w:r w:rsidR="00176699" w:rsidRPr="00134D73">
        <w:rPr>
          <w:bCs/>
          <w:lang w:val="en-GB"/>
        </w:rPr>
        <w:t xml:space="preserve"> Pantović and Mrs Slavka Pantović</w:t>
      </w:r>
      <w:r w:rsidR="00CE74BC" w:rsidRPr="00134D73">
        <w:rPr>
          <w:bCs/>
          <w:lang w:val="en-GB"/>
        </w:rPr>
        <w:t xml:space="preserve"> were insufficient</w:t>
      </w:r>
      <w:r w:rsidR="00F93EE2" w:rsidRPr="00134D73">
        <w:rPr>
          <w:bCs/>
          <w:lang w:val="en-GB"/>
        </w:rPr>
        <w:t xml:space="preserve"> </w:t>
      </w:r>
      <w:r w:rsidR="00F93EE2" w:rsidRPr="00134D73">
        <w:t>(</w:t>
      </w:r>
      <w:r w:rsidR="00F93EE2" w:rsidRPr="00134D73">
        <w:rPr>
          <w:lang w:val="en-GB"/>
        </w:rPr>
        <w:t xml:space="preserve">see </w:t>
      </w:r>
      <w:r w:rsidR="00F93EE2" w:rsidRPr="00134D73">
        <w:t xml:space="preserve">§ </w:t>
      </w:r>
      <w:r w:rsidR="00F93EE2" w:rsidRPr="00134D73">
        <w:fldChar w:fldCharType="begin"/>
      </w:r>
      <w:r w:rsidR="00F93EE2" w:rsidRPr="00134D73">
        <w:instrText xml:space="preserve"> REF _Ref418239726 \r \h  \* MERGEFORMAT </w:instrText>
      </w:r>
      <w:r w:rsidR="00F93EE2" w:rsidRPr="00134D73">
        <w:fldChar w:fldCharType="separate"/>
      </w:r>
      <w:r w:rsidR="00AB2ED0" w:rsidRPr="00134D73">
        <w:t>25</w:t>
      </w:r>
      <w:r w:rsidR="00F93EE2" w:rsidRPr="00134D73">
        <w:fldChar w:fldCharType="end"/>
      </w:r>
      <w:r w:rsidR="00F93EE2" w:rsidRPr="00134D73">
        <w:t xml:space="preserve"> above).</w:t>
      </w:r>
      <w:r w:rsidR="00A4015C" w:rsidRPr="00134D73">
        <w:t xml:space="preserve"> </w:t>
      </w:r>
    </w:p>
    <w:p w:rsidR="00CD655E" w:rsidRPr="00134D73" w:rsidRDefault="00CD655E" w:rsidP="003A3B1C">
      <w:pPr>
        <w:pStyle w:val="ListParagraph"/>
        <w:tabs>
          <w:tab w:val="num" w:pos="426"/>
        </w:tabs>
        <w:ind w:left="426" w:hanging="426"/>
        <w:rPr>
          <w:color w:val="000000" w:themeColor="text1"/>
          <w:lang w:val="en-GB"/>
        </w:rPr>
      </w:pPr>
    </w:p>
    <w:p w:rsidR="00155F50" w:rsidRPr="00134D73" w:rsidRDefault="00B251D0" w:rsidP="003A3B1C">
      <w:pPr>
        <w:numPr>
          <w:ilvl w:val="0"/>
          <w:numId w:val="2"/>
        </w:numPr>
        <w:tabs>
          <w:tab w:val="clear" w:pos="360"/>
          <w:tab w:val="num" w:pos="426"/>
        </w:tabs>
        <w:ind w:left="426" w:hanging="426"/>
        <w:jc w:val="both"/>
        <w:rPr>
          <w:bCs/>
          <w:lang w:val="en-GB"/>
        </w:rPr>
      </w:pPr>
      <w:r w:rsidRPr="00134D73">
        <w:t xml:space="preserve">The Panel notes that the collection of DNA samples is of itself an essential action that secures the necessary material for any future comparative examination </w:t>
      </w:r>
      <w:r w:rsidR="00FA7F3B" w:rsidRPr="00134D73">
        <w:t xml:space="preserve">with </w:t>
      </w:r>
      <w:r w:rsidRPr="00134D73">
        <w:t xml:space="preserve">and possible identification of </w:t>
      </w:r>
      <w:r w:rsidRPr="00134D73">
        <w:rPr>
          <w:lang w:val="en-GB"/>
        </w:rPr>
        <w:t>located</w:t>
      </w:r>
      <w:r w:rsidRPr="00134D73">
        <w:t xml:space="preserve"> mortal remains. </w:t>
      </w:r>
      <w:r w:rsidRPr="00134D73">
        <w:rPr>
          <w:bCs/>
          <w:lang w:val="en-GB"/>
        </w:rPr>
        <w:t xml:space="preserve">It is widely accepted that the only way to identify mortal remains after such a long </w:t>
      </w:r>
      <w:r w:rsidRPr="00134D73">
        <w:t>period</w:t>
      </w:r>
      <w:r w:rsidRPr="00134D73">
        <w:rPr>
          <w:bCs/>
          <w:lang w:val="en-GB"/>
        </w:rPr>
        <w:t xml:space="preserve"> of time is through comparison of samples of DNA material. Thus, the collection of sufficient samples from the next-of-kin of a missing person becomes </w:t>
      </w:r>
      <w:r w:rsidRPr="00134D73">
        <w:t>imperative</w:t>
      </w:r>
      <w:r w:rsidRPr="00134D73">
        <w:rPr>
          <w:bCs/>
          <w:lang w:val="en-GB"/>
        </w:rPr>
        <w:t xml:space="preserve">, and without this the chances of establishing the identity of mortal remains, if found, very slim. The </w:t>
      </w:r>
      <w:r w:rsidR="000C00BD" w:rsidRPr="00134D73">
        <w:rPr>
          <w:bCs/>
          <w:lang w:val="en-GB"/>
        </w:rPr>
        <w:t>on-going failure to collect sufficient</w:t>
      </w:r>
      <w:r w:rsidRPr="00134D73">
        <w:rPr>
          <w:bCs/>
          <w:lang w:val="en-GB"/>
        </w:rPr>
        <w:t xml:space="preserve"> samples seriously undermines the possibility of identifying </w:t>
      </w:r>
      <w:r w:rsidRPr="00134D73">
        <w:t xml:space="preserve">the </w:t>
      </w:r>
      <w:r w:rsidRPr="00134D73">
        <w:rPr>
          <w:bCs/>
          <w:lang w:val="en-GB"/>
        </w:rPr>
        <w:t xml:space="preserve">mortal remains of Mrs </w:t>
      </w:r>
      <w:proofErr w:type="spellStart"/>
      <w:r w:rsidRPr="00134D73">
        <w:rPr>
          <w:bCs/>
          <w:lang w:val="en-GB"/>
        </w:rPr>
        <w:t>Slavka</w:t>
      </w:r>
      <w:proofErr w:type="spellEnd"/>
      <w:r w:rsidRPr="00134D73">
        <w:rPr>
          <w:bCs/>
          <w:lang w:val="en-GB"/>
        </w:rPr>
        <w:t xml:space="preserve"> </w:t>
      </w:r>
      <w:proofErr w:type="spellStart"/>
      <w:r w:rsidRPr="00134D73">
        <w:rPr>
          <w:bCs/>
          <w:lang w:val="en-GB"/>
        </w:rPr>
        <w:t>Pantović</w:t>
      </w:r>
      <w:proofErr w:type="spellEnd"/>
      <w:r w:rsidRPr="00134D73">
        <w:rPr>
          <w:bCs/>
          <w:lang w:val="en-GB"/>
        </w:rPr>
        <w:t xml:space="preserve">, Mr </w:t>
      </w:r>
      <w:proofErr w:type="spellStart"/>
      <w:r w:rsidRPr="00134D73">
        <w:rPr>
          <w:bCs/>
          <w:lang w:val="en-GB"/>
        </w:rPr>
        <w:t>Milić</w:t>
      </w:r>
      <w:proofErr w:type="spellEnd"/>
      <w:r w:rsidRPr="00134D73">
        <w:rPr>
          <w:bCs/>
          <w:lang w:val="en-GB"/>
        </w:rPr>
        <w:t xml:space="preserve"> </w:t>
      </w:r>
      <w:proofErr w:type="spellStart"/>
      <w:r w:rsidRPr="00134D73">
        <w:rPr>
          <w:bCs/>
          <w:lang w:val="en-GB"/>
        </w:rPr>
        <w:t>Pantović</w:t>
      </w:r>
      <w:proofErr w:type="spellEnd"/>
      <w:r w:rsidRPr="00134D73">
        <w:rPr>
          <w:bCs/>
          <w:lang w:val="en-GB"/>
        </w:rPr>
        <w:t xml:space="preserve"> and Mrs </w:t>
      </w:r>
      <w:proofErr w:type="spellStart"/>
      <w:r w:rsidRPr="00134D73">
        <w:rPr>
          <w:bCs/>
          <w:lang w:val="en-GB"/>
        </w:rPr>
        <w:t>Mileva</w:t>
      </w:r>
      <w:proofErr w:type="spellEnd"/>
      <w:r w:rsidRPr="00134D73">
        <w:rPr>
          <w:bCs/>
          <w:lang w:val="en-GB"/>
        </w:rPr>
        <w:t xml:space="preserve"> </w:t>
      </w:r>
      <w:proofErr w:type="spellStart"/>
      <w:r w:rsidRPr="00134D73">
        <w:rPr>
          <w:bCs/>
          <w:lang w:val="en-GB"/>
        </w:rPr>
        <w:t>Pantović</w:t>
      </w:r>
      <w:proofErr w:type="spellEnd"/>
      <w:r w:rsidRPr="00134D73">
        <w:rPr>
          <w:bCs/>
          <w:lang w:val="en-GB"/>
        </w:rPr>
        <w:t xml:space="preserve"> (in case they have been or may be found). </w:t>
      </w:r>
      <w:r w:rsidRPr="00134D73">
        <w:t xml:space="preserve">This failure to collect </w:t>
      </w:r>
      <w:r w:rsidR="00D250D1" w:rsidRPr="00134D73">
        <w:t xml:space="preserve">sufficient </w:t>
      </w:r>
      <w:r w:rsidRPr="00134D73">
        <w:t>DNA samples continues until now, and there is no explanation offered by the authorities a</w:t>
      </w:r>
      <w:r w:rsidR="00B71C2E" w:rsidRPr="00134D73">
        <w:t xml:space="preserve">s to why this </w:t>
      </w:r>
      <w:r w:rsidR="00D250D1" w:rsidRPr="00134D73">
        <w:t xml:space="preserve">was </w:t>
      </w:r>
      <w:r w:rsidR="00B71C2E" w:rsidRPr="00134D73">
        <w:t>not done</w:t>
      </w:r>
      <w:r w:rsidRPr="00134D73">
        <w:rPr>
          <w:bCs/>
          <w:lang w:val="en-GB"/>
        </w:rPr>
        <w:t xml:space="preserve"> </w:t>
      </w:r>
      <w:r w:rsidR="00B71C2E" w:rsidRPr="00134D73">
        <w:rPr>
          <w:bCs/>
        </w:rPr>
        <w:t xml:space="preserve">(see HRAP, </w:t>
      </w:r>
      <w:proofErr w:type="spellStart"/>
      <w:r w:rsidR="00B71C2E" w:rsidRPr="00134D73">
        <w:rPr>
          <w:bCs/>
          <w:i/>
        </w:rPr>
        <w:t>Nikolić</w:t>
      </w:r>
      <w:proofErr w:type="spellEnd"/>
      <w:r w:rsidR="00B71C2E" w:rsidRPr="00134D73">
        <w:rPr>
          <w:bCs/>
          <w:i/>
        </w:rPr>
        <w:t xml:space="preserve"> et al, </w:t>
      </w:r>
      <w:proofErr w:type="spellStart"/>
      <w:r w:rsidR="00B71C2E" w:rsidRPr="00134D73">
        <w:rPr>
          <w:bCs/>
        </w:rPr>
        <w:t>nos</w:t>
      </w:r>
      <w:proofErr w:type="spellEnd"/>
      <w:r w:rsidR="00B71C2E" w:rsidRPr="00134D73">
        <w:rPr>
          <w:bCs/>
        </w:rPr>
        <w:t xml:space="preserve"> 72/09 et al, opinion of 14 December 2014, § 187-191).</w:t>
      </w:r>
    </w:p>
    <w:p w:rsidR="00D92178" w:rsidRPr="00134D73" w:rsidRDefault="00D92178" w:rsidP="00D92178">
      <w:pPr>
        <w:pStyle w:val="ListParagraph"/>
        <w:rPr>
          <w:lang w:val="en-GB"/>
        </w:rPr>
      </w:pPr>
    </w:p>
    <w:p w:rsidR="00D92178" w:rsidRPr="00134D73" w:rsidRDefault="00D92178" w:rsidP="00D92178">
      <w:pPr>
        <w:pStyle w:val="ListParagraph"/>
        <w:numPr>
          <w:ilvl w:val="0"/>
          <w:numId w:val="2"/>
        </w:numPr>
        <w:tabs>
          <w:tab w:val="clear" w:pos="360"/>
          <w:tab w:val="num" w:pos="450"/>
        </w:tabs>
        <w:autoSpaceDE w:val="0"/>
        <w:ind w:left="450" w:hanging="450"/>
        <w:jc w:val="both"/>
        <w:rPr>
          <w:bCs/>
          <w:lang w:val="en-GB"/>
        </w:rPr>
      </w:pPr>
      <w:r w:rsidRPr="00134D73">
        <w:rPr>
          <w:lang w:val="en-GB"/>
        </w:rPr>
        <w:t xml:space="preserve">Now the Panel will turn to the investigation carried out by UNMIK Police with the aim of identifying the perpetrator(s) and bringing them to </w:t>
      </w:r>
      <w:proofErr w:type="gramStart"/>
      <w:r w:rsidRPr="00134D73">
        <w:rPr>
          <w:lang w:val="en-GB"/>
        </w:rPr>
        <w:t>justice, that</w:t>
      </w:r>
      <w:proofErr w:type="gramEnd"/>
      <w:r w:rsidRPr="00134D73">
        <w:rPr>
          <w:lang w:val="en-GB"/>
        </w:rPr>
        <w:t xml:space="preserve"> is the second element of the procedural obligation under Article 2 of the ECHR.</w:t>
      </w:r>
    </w:p>
    <w:p w:rsidR="00E92DED" w:rsidRPr="00134D73" w:rsidRDefault="00E92DED" w:rsidP="00445981">
      <w:pPr>
        <w:tabs>
          <w:tab w:val="left" w:pos="709"/>
        </w:tabs>
        <w:suppressAutoHyphens/>
        <w:autoSpaceDE w:val="0"/>
        <w:jc w:val="both"/>
        <w:rPr>
          <w:lang w:val="en-GB"/>
        </w:rPr>
      </w:pPr>
    </w:p>
    <w:p w:rsidR="00E73198" w:rsidRPr="00134D73" w:rsidRDefault="00E92DED" w:rsidP="00445981">
      <w:pPr>
        <w:pStyle w:val="ListParagraph"/>
        <w:numPr>
          <w:ilvl w:val="0"/>
          <w:numId w:val="2"/>
        </w:numPr>
        <w:tabs>
          <w:tab w:val="clear" w:pos="360"/>
          <w:tab w:val="num" w:pos="450"/>
        </w:tabs>
        <w:autoSpaceDE w:val="0"/>
        <w:ind w:left="450" w:hanging="450"/>
        <w:jc w:val="both"/>
        <w:rPr>
          <w:bCs/>
          <w:lang w:val="en-GB"/>
        </w:rPr>
      </w:pPr>
      <w:bookmarkStart w:id="96" w:name="_Ref419388160"/>
      <w:r w:rsidRPr="00134D73">
        <w:rPr>
          <w:color w:val="000000"/>
          <w:lang w:val="en-GB" w:eastAsia="nl-NL"/>
        </w:rPr>
        <w:t xml:space="preserve">The Panel notes that </w:t>
      </w:r>
      <w:r w:rsidR="00773E03" w:rsidRPr="00134D73">
        <w:rPr>
          <w:color w:val="000000"/>
          <w:lang w:val="en-GB" w:eastAsia="nl-NL"/>
        </w:rPr>
        <w:t xml:space="preserve">while </w:t>
      </w:r>
      <w:r w:rsidRPr="00134D73">
        <w:rPr>
          <w:color w:val="000000"/>
          <w:lang w:val="en-GB" w:eastAsia="nl-NL"/>
        </w:rPr>
        <w:t>the investigative files show t</w:t>
      </w:r>
      <w:r w:rsidR="009A6E2B" w:rsidRPr="00134D73">
        <w:rPr>
          <w:color w:val="000000"/>
          <w:lang w:val="en-GB" w:eastAsia="nl-NL"/>
        </w:rPr>
        <w:t xml:space="preserve">hat the WCIU completed an “Ante </w:t>
      </w:r>
      <w:r w:rsidRPr="00134D73">
        <w:rPr>
          <w:color w:val="000000"/>
          <w:lang w:val="en-GB" w:eastAsia="nl-NL"/>
        </w:rPr>
        <w:t xml:space="preserve">Mortem Investigation Report” in </w:t>
      </w:r>
      <w:r w:rsidR="001D7B8E" w:rsidRPr="00134D73">
        <w:rPr>
          <w:color w:val="000000"/>
          <w:lang w:val="en-GB" w:eastAsia="nl-NL"/>
        </w:rPr>
        <w:t xml:space="preserve">29 January </w:t>
      </w:r>
      <w:r w:rsidR="009A6E2B" w:rsidRPr="00134D73">
        <w:rPr>
          <w:color w:val="000000"/>
          <w:lang w:val="en-GB" w:eastAsia="nl-NL"/>
        </w:rPr>
        <w:t>2005</w:t>
      </w:r>
      <w:r w:rsidRPr="00134D73">
        <w:rPr>
          <w:color w:val="000000"/>
          <w:lang w:val="en-GB" w:eastAsia="nl-NL"/>
        </w:rPr>
        <w:t xml:space="preserve">, </w:t>
      </w:r>
      <w:r w:rsidR="00773E03" w:rsidRPr="00134D73">
        <w:rPr>
          <w:color w:val="000000"/>
          <w:lang w:val="en-GB" w:eastAsia="nl-NL"/>
        </w:rPr>
        <w:t xml:space="preserve">for Mrs Slavka Pantović, there is not one for either Mr </w:t>
      </w:r>
      <w:proofErr w:type="spellStart"/>
      <w:r w:rsidR="00773E03" w:rsidRPr="00134D73">
        <w:rPr>
          <w:color w:val="000000"/>
          <w:lang w:val="en-GB" w:eastAsia="nl-NL"/>
        </w:rPr>
        <w:t>Milić</w:t>
      </w:r>
      <w:proofErr w:type="spellEnd"/>
      <w:r w:rsidR="00773E03" w:rsidRPr="00134D73">
        <w:rPr>
          <w:color w:val="000000"/>
          <w:lang w:val="en-GB" w:eastAsia="nl-NL"/>
        </w:rPr>
        <w:t xml:space="preserve"> </w:t>
      </w:r>
      <w:proofErr w:type="spellStart"/>
      <w:r w:rsidR="00773E03" w:rsidRPr="00134D73">
        <w:rPr>
          <w:color w:val="000000"/>
          <w:lang w:val="en-GB" w:eastAsia="nl-NL"/>
        </w:rPr>
        <w:t>Pantović</w:t>
      </w:r>
      <w:proofErr w:type="spellEnd"/>
      <w:r w:rsidR="00773E03" w:rsidRPr="00134D73">
        <w:rPr>
          <w:color w:val="000000"/>
          <w:lang w:val="en-GB" w:eastAsia="nl-NL"/>
        </w:rPr>
        <w:t xml:space="preserve"> or Mrs </w:t>
      </w:r>
      <w:proofErr w:type="spellStart"/>
      <w:r w:rsidR="00773E03" w:rsidRPr="00134D73">
        <w:rPr>
          <w:color w:val="000000"/>
          <w:lang w:val="en-GB" w:eastAsia="nl-NL"/>
        </w:rPr>
        <w:t>Mileva</w:t>
      </w:r>
      <w:proofErr w:type="spellEnd"/>
      <w:r w:rsidR="00773E03" w:rsidRPr="00134D73">
        <w:rPr>
          <w:color w:val="000000"/>
          <w:lang w:val="en-GB" w:eastAsia="nl-NL"/>
        </w:rPr>
        <w:t xml:space="preserve"> </w:t>
      </w:r>
      <w:proofErr w:type="spellStart"/>
      <w:r w:rsidR="00773E03" w:rsidRPr="00134D73">
        <w:rPr>
          <w:color w:val="000000"/>
          <w:lang w:val="en-GB" w:eastAsia="nl-NL"/>
        </w:rPr>
        <w:t>Pantović</w:t>
      </w:r>
      <w:proofErr w:type="spellEnd"/>
      <w:r w:rsidR="00773E03" w:rsidRPr="00134D73">
        <w:rPr>
          <w:color w:val="000000"/>
          <w:lang w:val="en-GB" w:eastAsia="nl-NL"/>
        </w:rPr>
        <w:t xml:space="preserve">. The WCIU report does not indicate that the investigation for all three persons was joined at that time. Moreover, </w:t>
      </w:r>
      <w:r w:rsidRPr="00134D73">
        <w:rPr>
          <w:color w:val="000000"/>
          <w:lang w:val="en-GB" w:eastAsia="nl-NL"/>
        </w:rPr>
        <w:t>it</w:t>
      </w:r>
      <w:r w:rsidR="001F0511" w:rsidRPr="00134D73">
        <w:rPr>
          <w:color w:val="000000"/>
          <w:lang w:val="en-GB" w:eastAsia="nl-NL"/>
        </w:rPr>
        <w:t xml:space="preserve"> does not appear that even any</w:t>
      </w:r>
      <w:r w:rsidRPr="00134D73">
        <w:rPr>
          <w:color w:val="000000"/>
          <w:lang w:val="en-GB" w:eastAsia="nl-NL"/>
        </w:rPr>
        <w:t xml:space="preserve"> basic investigative steps were taken by the UNMIK Police, such as visit</w:t>
      </w:r>
      <w:r w:rsidR="001D7B8E" w:rsidRPr="00134D73">
        <w:rPr>
          <w:color w:val="000000"/>
          <w:lang w:val="en-GB" w:eastAsia="nl-NL"/>
        </w:rPr>
        <w:t>ing the</w:t>
      </w:r>
      <w:r w:rsidRPr="00134D73">
        <w:rPr>
          <w:color w:val="000000"/>
          <w:lang w:val="en-GB" w:eastAsia="nl-NL"/>
        </w:rPr>
        <w:t xml:space="preserve"> home in </w:t>
      </w:r>
      <w:proofErr w:type="spellStart"/>
      <w:r w:rsidR="001D7B8E" w:rsidRPr="00134D73">
        <w:rPr>
          <w:lang w:val="en-GB"/>
        </w:rPr>
        <w:t>Gjakovё</w:t>
      </w:r>
      <w:proofErr w:type="spellEnd"/>
      <w:r w:rsidR="001D7B8E" w:rsidRPr="00134D73">
        <w:rPr>
          <w:lang w:val="en-GB"/>
        </w:rPr>
        <w:t>/</w:t>
      </w:r>
      <w:proofErr w:type="spellStart"/>
      <w:r w:rsidR="001D7B8E" w:rsidRPr="00134D73">
        <w:rPr>
          <w:lang w:val="en-GB"/>
        </w:rPr>
        <w:t>Ðakovica</w:t>
      </w:r>
      <w:proofErr w:type="spellEnd"/>
      <w:r w:rsidRPr="00134D73">
        <w:rPr>
          <w:color w:val="000000"/>
          <w:lang w:val="en-GB" w:eastAsia="nl-NL"/>
        </w:rPr>
        <w:t xml:space="preserve">, the location where </w:t>
      </w:r>
      <w:r w:rsidR="001D7B8E" w:rsidRPr="00134D73">
        <w:rPr>
          <w:lang w:val="en-GB"/>
        </w:rPr>
        <w:t xml:space="preserve">Mrs </w:t>
      </w:r>
      <w:proofErr w:type="spellStart"/>
      <w:r w:rsidR="001D7B8E" w:rsidRPr="00134D73">
        <w:rPr>
          <w:lang w:val="en-GB"/>
        </w:rPr>
        <w:t>Slavka</w:t>
      </w:r>
      <w:proofErr w:type="spellEnd"/>
      <w:r w:rsidR="001D7B8E" w:rsidRPr="00134D73">
        <w:rPr>
          <w:lang w:val="en-GB"/>
        </w:rPr>
        <w:t xml:space="preserve"> </w:t>
      </w:r>
      <w:proofErr w:type="spellStart"/>
      <w:r w:rsidR="001D7B8E" w:rsidRPr="00134D73">
        <w:rPr>
          <w:lang w:val="en-GB"/>
        </w:rPr>
        <w:t>Pantović</w:t>
      </w:r>
      <w:proofErr w:type="spellEnd"/>
      <w:r w:rsidR="001D7B8E" w:rsidRPr="00134D73">
        <w:rPr>
          <w:lang w:val="en-GB"/>
        </w:rPr>
        <w:t xml:space="preserve">, Mr </w:t>
      </w:r>
      <w:proofErr w:type="spellStart"/>
      <w:r w:rsidR="001D7B8E" w:rsidRPr="00134D73">
        <w:rPr>
          <w:lang w:val="en-GB"/>
        </w:rPr>
        <w:t>Milić</w:t>
      </w:r>
      <w:proofErr w:type="spellEnd"/>
      <w:r w:rsidR="001D7B8E" w:rsidRPr="00134D73">
        <w:rPr>
          <w:lang w:val="en-GB"/>
        </w:rPr>
        <w:t xml:space="preserve"> </w:t>
      </w:r>
      <w:proofErr w:type="spellStart"/>
      <w:r w:rsidR="001D7B8E" w:rsidRPr="00134D73">
        <w:rPr>
          <w:lang w:val="en-GB"/>
        </w:rPr>
        <w:t>Pantović</w:t>
      </w:r>
      <w:proofErr w:type="spellEnd"/>
      <w:r w:rsidR="001D7B8E" w:rsidRPr="00134D73">
        <w:rPr>
          <w:lang w:val="en-GB"/>
        </w:rPr>
        <w:t xml:space="preserve"> and Mrs </w:t>
      </w:r>
      <w:proofErr w:type="spellStart"/>
      <w:r w:rsidR="001D7B8E" w:rsidRPr="00134D73">
        <w:rPr>
          <w:lang w:val="en-GB"/>
        </w:rPr>
        <w:t>Mileva</w:t>
      </w:r>
      <w:proofErr w:type="spellEnd"/>
      <w:r w:rsidR="001D7B8E" w:rsidRPr="00134D73">
        <w:rPr>
          <w:lang w:val="en-GB"/>
        </w:rPr>
        <w:t xml:space="preserve"> </w:t>
      </w:r>
      <w:proofErr w:type="spellStart"/>
      <w:r w:rsidR="001D7B8E" w:rsidRPr="00134D73">
        <w:rPr>
          <w:lang w:val="en-GB"/>
        </w:rPr>
        <w:t>Pantović</w:t>
      </w:r>
      <w:proofErr w:type="spellEnd"/>
      <w:r w:rsidR="001D7B8E" w:rsidRPr="00134D73">
        <w:rPr>
          <w:color w:val="000000"/>
          <w:lang w:val="en-GB" w:eastAsia="nl-NL"/>
        </w:rPr>
        <w:t xml:space="preserve"> </w:t>
      </w:r>
      <w:r w:rsidRPr="00134D73">
        <w:rPr>
          <w:color w:val="000000"/>
          <w:lang w:val="en-GB" w:eastAsia="nl-NL"/>
        </w:rPr>
        <w:t>had been reportedly seen for the last time</w:t>
      </w:r>
      <w:r w:rsidR="00E66946" w:rsidRPr="00134D73">
        <w:rPr>
          <w:color w:val="000000"/>
          <w:lang w:val="en-GB" w:eastAsia="nl-NL"/>
        </w:rPr>
        <w:t>,</w:t>
      </w:r>
      <w:r w:rsidRPr="00134D73">
        <w:rPr>
          <w:color w:val="000000"/>
          <w:lang w:val="en-GB" w:eastAsia="nl-NL"/>
        </w:rPr>
        <w:t xml:space="preserve"> to try and better und</w:t>
      </w:r>
      <w:r w:rsidR="001D7B8E" w:rsidRPr="00134D73">
        <w:rPr>
          <w:color w:val="000000"/>
          <w:lang w:val="en-GB" w:eastAsia="nl-NL"/>
        </w:rPr>
        <w:t>erstand the circumstances of their</w:t>
      </w:r>
      <w:r w:rsidRPr="00134D73">
        <w:rPr>
          <w:color w:val="000000"/>
          <w:lang w:val="en-GB" w:eastAsia="nl-NL"/>
        </w:rPr>
        <w:t xml:space="preserve"> disappearance, or identifying and interviewing individuals residing at or located in the area of the alleged crime (“canvassing” the area)</w:t>
      </w:r>
      <w:r w:rsidR="00713D84" w:rsidRPr="00134D73">
        <w:rPr>
          <w:color w:val="000000"/>
          <w:lang w:val="en-GB" w:eastAsia="nl-NL"/>
        </w:rPr>
        <w:t>.</w:t>
      </w:r>
      <w:bookmarkEnd w:id="96"/>
      <w:r w:rsidR="00713D84" w:rsidRPr="00134D73">
        <w:rPr>
          <w:color w:val="000000"/>
          <w:lang w:val="en-GB" w:eastAsia="nl-NL"/>
        </w:rPr>
        <w:t xml:space="preserve"> </w:t>
      </w:r>
    </w:p>
    <w:p w:rsidR="00E73198" w:rsidRPr="00134D73" w:rsidRDefault="00E73198" w:rsidP="00E73198">
      <w:pPr>
        <w:pStyle w:val="ListParagraph"/>
        <w:rPr>
          <w:color w:val="000000"/>
          <w:lang w:val="en-GB" w:eastAsia="nl-NL"/>
        </w:rPr>
      </w:pPr>
    </w:p>
    <w:p w:rsidR="00E73198" w:rsidRPr="00134D73" w:rsidRDefault="000C00BD" w:rsidP="00445981">
      <w:pPr>
        <w:pStyle w:val="ListParagraph"/>
        <w:numPr>
          <w:ilvl w:val="0"/>
          <w:numId w:val="2"/>
        </w:numPr>
        <w:tabs>
          <w:tab w:val="clear" w:pos="360"/>
          <w:tab w:val="num" w:pos="450"/>
        </w:tabs>
        <w:autoSpaceDE w:val="0"/>
        <w:ind w:left="450" w:hanging="450"/>
        <w:jc w:val="both"/>
        <w:rPr>
          <w:bCs/>
          <w:lang w:val="en-GB"/>
        </w:rPr>
      </w:pPr>
      <w:bookmarkStart w:id="97" w:name="_Ref419281489"/>
      <w:r w:rsidRPr="00134D73">
        <w:rPr>
          <w:color w:val="000000"/>
          <w:lang w:val="en-GB" w:eastAsia="nl-NL"/>
        </w:rPr>
        <w:t>The Panel recognis</w:t>
      </w:r>
      <w:r w:rsidR="00E73198" w:rsidRPr="00134D73">
        <w:rPr>
          <w:color w:val="000000"/>
          <w:lang w:val="en-GB" w:eastAsia="nl-NL"/>
        </w:rPr>
        <w:t xml:space="preserve">es that </w:t>
      </w:r>
      <w:r w:rsidR="001D7B8E" w:rsidRPr="00134D73">
        <w:rPr>
          <w:color w:val="000000"/>
          <w:lang w:val="en-GB" w:eastAsia="nl-NL"/>
        </w:rPr>
        <w:t xml:space="preserve">UNMIK Police contacted </w:t>
      </w:r>
      <w:r w:rsidR="00E73198" w:rsidRPr="00134D73">
        <w:rPr>
          <w:color w:val="000000"/>
          <w:lang w:val="en-GB" w:eastAsia="nl-NL"/>
        </w:rPr>
        <w:t xml:space="preserve">the sister of Mrs Slavka Pantović, Mrs D.P., to obtain more information and that she reportedly “refused to give any information. She told that her family gave a lot of statements to different organizations for last 5 years and we were supposed to contact with them” (see § </w:t>
      </w:r>
      <w:r w:rsidR="00E73198" w:rsidRPr="00134D73">
        <w:rPr>
          <w:color w:val="000000"/>
          <w:lang w:val="en-GB" w:eastAsia="nl-NL"/>
        </w:rPr>
        <w:fldChar w:fldCharType="begin"/>
      </w:r>
      <w:r w:rsidR="00E73198" w:rsidRPr="00134D73">
        <w:rPr>
          <w:color w:val="000000"/>
          <w:lang w:val="en-GB" w:eastAsia="nl-NL"/>
        </w:rPr>
        <w:instrText xml:space="preserve"> REF _Ref418239588 \r \h  \* MERGEFORMAT </w:instrText>
      </w:r>
      <w:r w:rsidR="00E73198" w:rsidRPr="00134D73">
        <w:rPr>
          <w:color w:val="000000"/>
          <w:lang w:val="en-GB" w:eastAsia="nl-NL"/>
        </w:rPr>
      </w:r>
      <w:r w:rsidR="00E73198" w:rsidRPr="00134D73">
        <w:rPr>
          <w:color w:val="000000"/>
          <w:lang w:val="en-GB" w:eastAsia="nl-NL"/>
        </w:rPr>
        <w:fldChar w:fldCharType="separate"/>
      </w:r>
      <w:r w:rsidR="00AB2ED0" w:rsidRPr="00134D73">
        <w:rPr>
          <w:color w:val="000000"/>
          <w:lang w:val="en-GB" w:eastAsia="nl-NL"/>
        </w:rPr>
        <w:t>40</w:t>
      </w:r>
      <w:r w:rsidR="00E73198" w:rsidRPr="00134D73">
        <w:rPr>
          <w:color w:val="000000"/>
          <w:lang w:val="en-GB" w:eastAsia="nl-NL"/>
        </w:rPr>
        <w:fldChar w:fldCharType="end"/>
      </w:r>
      <w:r w:rsidR="00E73198" w:rsidRPr="00134D73">
        <w:rPr>
          <w:color w:val="000000"/>
          <w:lang w:val="en-GB" w:eastAsia="nl-NL"/>
        </w:rPr>
        <w:t xml:space="preserve"> above). However, </w:t>
      </w:r>
      <w:r w:rsidRPr="00134D73">
        <w:rPr>
          <w:color w:val="000000"/>
          <w:lang w:val="en-GB" w:eastAsia="nl-NL"/>
        </w:rPr>
        <w:t xml:space="preserve">although </w:t>
      </w:r>
      <w:r w:rsidR="00E73198" w:rsidRPr="00134D73">
        <w:rPr>
          <w:color w:val="000000"/>
          <w:lang w:val="en-GB" w:eastAsia="nl-NL"/>
        </w:rPr>
        <w:t>UNMIK still had the contact details of other family members, none appear to have been contacted.</w:t>
      </w:r>
      <w:bookmarkEnd w:id="97"/>
    </w:p>
    <w:p w:rsidR="00E73198" w:rsidRPr="00134D73" w:rsidRDefault="00E73198" w:rsidP="00E73198">
      <w:pPr>
        <w:pStyle w:val="ListParagraph"/>
        <w:rPr>
          <w:bCs/>
          <w:lang w:val="en-GB"/>
        </w:rPr>
      </w:pPr>
    </w:p>
    <w:p w:rsidR="00E73198" w:rsidRPr="00134D73" w:rsidRDefault="00E73198" w:rsidP="005974B2">
      <w:pPr>
        <w:pStyle w:val="ListParagraph"/>
        <w:numPr>
          <w:ilvl w:val="0"/>
          <w:numId w:val="2"/>
        </w:numPr>
        <w:tabs>
          <w:tab w:val="clear" w:pos="360"/>
          <w:tab w:val="num" w:pos="450"/>
        </w:tabs>
        <w:autoSpaceDE w:val="0"/>
        <w:ind w:left="450" w:hanging="450"/>
        <w:jc w:val="both"/>
        <w:rPr>
          <w:color w:val="000000"/>
          <w:lang w:val="en-GB" w:eastAsia="nl-NL"/>
        </w:rPr>
      </w:pPr>
      <w:r w:rsidRPr="00134D73">
        <w:rPr>
          <w:bCs/>
          <w:lang w:val="en-GB"/>
        </w:rPr>
        <w:t xml:space="preserve">The Panel notes that with respect to </w:t>
      </w:r>
      <w:r w:rsidRPr="00134D73">
        <w:rPr>
          <w:lang w:val="en-GB"/>
        </w:rPr>
        <w:t xml:space="preserve">Mr </w:t>
      </w:r>
      <w:proofErr w:type="spellStart"/>
      <w:r w:rsidRPr="00134D73">
        <w:rPr>
          <w:lang w:val="en-GB"/>
        </w:rPr>
        <w:t>Milić</w:t>
      </w:r>
      <w:proofErr w:type="spellEnd"/>
      <w:r w:rsidRPr="00134D73">
        <w:rPr>
          <w:lang w:val="en-GB"/>
        </w:rPr>
        <w:t xml:space="preserve"> </w:t>
      </w:r>
      <w:proofErr w:type="spellStart"/>
      <w:r w:rsidRPr="00134D73">
        <w:rPr>
          <w:lang w:val="en-GB"/>
        </w:rPr>
        <w:t>Pantović</w:t>
      </w:r>
      <w:proofErr w:type="spellEnd"/>
      <w:r w:rsidRPr="00134D73">
        <w:rPr>
          <w:lang w:val="en-GB"/>
        </w:rPr>
        <w:t xml:space="preserve"> and Mrs </w:t>
      </w:r>
      <w:proofErr w:type="spellStart"/>
      <w:r w:rsidRPr="00134D73">
        <w:rPr>
          <w:lang w:val="en-GB"/>
        </w:rPr>
        <w:t>Mileva</w:t>
      </w:r>
      <w:proofErr w:type="spellEnd"/>
      <w:r w:rsidRPr="00134D73">
        <w:rPr>
          <w:lang w:val="en-GB"/>
        </w:rPr>
        <w:t xml:space="preserve"> </w:t>
      </w:r>
      <w:proofErr w:type="spellStart"/>
      <w:r w:rsidRPr="00134D73">
        <w:rPr>
          <w:lang w:val="en-GB"/>
        </w:rPr>
        <w:t>Pantović</w:t>
      </w:r>
      <w:proofErr w:type="spellEnd"/>
      <w:r w:rsidRPr="00134D73">
        <w:rPr>
          <w:lang w:val="en-GB"/>
        </w:rPr>
        <w:t xml:space="preserve"> </w:t>
      </w:r>
      <w:r w:rsidR="005974B2" w:rsidRPr="00134D73">
        <w:rPr>
          <w:lang w:val="en-GB"/>
        </w:rPr>
        <w:t xml:space="preserve">neither the complainant, who is named as a contact </w:t>
      </w:r>
      <w:proofErr w:type="gramStart"/>
      <w:r w:rsidR="005974B2" w:rsidRPr="00134D73">
        <w:rPr>
          <w:lang w:val="en-GB"/>
        </w:rPr>
        <w:t>for</w:t>
      </w:r>
      <w:r w:rsidR="00FA7F3B" w:rsidRPr="00134D73">
        <w:rPr>
          <w:lang w:val="en-GB"/>
        </w:rPr>
        <w:t xml:space="preserve"> </w:t>
      </w:r>
      <w:r w:rsidR="005974B2" w:rsidRPr="00134D73">
        <w:rPr>
          <w:lang w:val="en-GB"/>
        </w:rPr>
        <w:t>Mr</w:t>
      </w:r>
      <w:proofErr w:type="gramEnd"/>
      <w:r w:rsidR="005974B2" w:rsidRPr="00134D73">
        <w:rPr>
          <w:lang w:val="en-GB"/>
        </w:rPr>
        <w:t xml:space="preserve"> </w:t>
      </w:r>
      <w:proofErr w:type="spellStart"/>
      <w:r w:rsidR="005974B2" w:rsidRPr="00134D73">
        <w:rPr>
          <w:lang w:val="en-GB"/>
        </w:rPr>
        <w:t>Milić</w:t>
      </w:r>
      <w:proofErr w:type="spellEnd"/>
      <w:r w:rsidR="005974B2" w:rsidRPr="00134D73">
        <w:rPr>
          <w:lang w:val="en-GB"/>
        </w:rPr>
        <w:t xml:space="preserve"> </w:t>
      </w:r>
      <w:proofErr w:type="spellStart"/>
      <w:r w:rsidR="005974B2" w:rsidRPr="00134D73">
        <w:rPr>
          <w:lang w:val="en-GB"/>
        </w:rPr>
        <w:t>Pantović</w:t>
      </w:r>
      <w:proofErr w:type="spellEnd"/>
      <w:r w:rsidR="005974B2" w:rsidRPr="00134D73">
        <w:rPr>
          <w:lang w:val="en-GB"/>
        </w:rPr>
        <w:t xml:space="preserve">, nor any </w:t>
      </w:r>
      <w:r w:rsidRPr="00134D73">
        <w:rPr>
          <w:lang w:val="en-GB"/>
        </w:rPr>
        <w:t xml:space="preserve">of the </w:t>
      </w:r>
      <w:r w:rsidR="00FA7F3B" w:rsidRPr="00134D73">
        <w:rPr>
          <w:lang w:val="en-GB"/>
        </w:rPr>
        <w:t xml:space="preserve">other </w:t>
      </w:r>
      <w:r w:rsidRPr="00134D73">
        <w:rPr>
          <w:lang w:val="en-GB"/>
        </w:rPr>
        <w:t>family members were contacted as part of the investig</w:t>
      </w:r>
      <w:r w:rsidR="005974B2" w:rsidRPr="00134D73">
        <w:rPr>
          <w:lang w:val="en-GB"/>
        </w:rPr>
        <w:t>ation into identifying the perp</w:t>
      </w:r>
      <w:r w:rsidRPr="00134D73">
        <w:rPr>
          <w:lang w:val="en-GB"/>
        </w:rPr>
        <w:t>etrators.</w:t>
      </w:r>
    </w:p>
    <w:p w:rsidR="00F12A1D" w:rsidRPr="00134D73" w:rsidRDefault="00F12A1D" w:rsidP="000C00BD">
      <w:pPr>
        <w:rPr>
          <w:color w:val="000000"/>
          <w:lang w:val="en-GB" w:eastAsia="nl-NL"/>
        </w:rPr>
      </w:pPr>
    </w:p>
    <w:p w:rsidR="00E92DED" w:rsidRPr="00134D73" w:rsidRDefault="00E92DED" w:rsidP="00445981">
      <w:pPr>
        <w:pStyle w:val="ListParagraph"/>
        <w:numPr>
          <w:ilvl w:val="0"/>
          <w:numId w:val="2"/>
        </w:numPr>
        <w:tabs>
          <w:tab w:val="clear" w:pos="360"/>
          <w:tab w:val="num" w:pos="450"/>
        </w:tabs>
        <w:autoSpaceDE w:val="0"/>
        <w:ind w:left="450" w:hanging="450"/>
        <w:jc w:val="both"/>
        <w:rPr>
          <w:bCs/>
          <w:lang w:val="en-GB"/>
        </w:rPr>
      </w:pPr>
      <w:r w:rsidRPr="00134D73">
        <w:rPr>
          <w:bCs/>
          <w:lang w:val="en-GB"/>
        </w:rPr>
        <w:t xml:space="preserve">The </w:t>
      </w:r>
      <w:r w:rsidRPr="00134D73">
        <w:rPr>
          <w:lang w:val="en-GB"/>
        </w:rPr>
        <w:t>Panel</w:t>
      </w:r>
      <w:r w:rsidRPr="00134D73">
        <w:rPr>
          <w:bCs/>
          <w:lang w:val="en-GB"/>
        </w:rPr>
        <w:t xml:space="preserve"> likewise reca</w:t>
      </w:r>
      <w:r w:rsidR="000C00BD" w:rsidRPr="00134D73">
        <w:rPr>
          <w:bCs/>
          <w:lang w:val="en-GB"/>
        </w:rPr>
        <w:t>lls the SRSG’s argument that</w:t>
      </w:r>
      <w:r w:rsidRPr="00134D73">
        <w:rPr>
          <w:bCs/>
          <w:lang w:val="en-GB"/>
        </w:rPr>
        <w:t xml:space="preserve"> “</w:t>
      </w:r>
      <w:r w:rsidR="005974B2" w:rsidRPr="00134D73">
        <w:t>it can be asserted that lack of information in the instant case posed a real hurdle to the conduct of any investigation by UNMIK. The lack of witnesses or suspects impeded the identification of possible perpetrators to be brought to justice</w:t>
      </w:r>
      <w:r w:rsidRPr="00134D73">
        <w:t xml:space="preserve">” (see § </w:t>
      </w:r>
      <w:r w:rsidR="00134D73" w:rsidRPr="00134D73">
        <w:fldChar w:fldCharType="begin"/>
      </w:r>
      <w:r w:rsidR="00134D73" w:rsidRPr="00134D73">
        <w:instrText xml:space="preserve"> REF _Ref419388143 \r \h </w:instrText>
      </w:r>
      <w:r w:rsidR="00134D73">
        <w:instrText xml:space="preserve"> \* MERGEFORMAT </w:instrText>
      </w:r>
      <w:r w:rsidR="00134D73" w:rsidRPr="00134D73">
        <w:fldChar w:fldCharType="separate"/>
      </w:r>
      <w:r w:rsidR="00134D73" w:rsidRPr="00134D73">
        <w:t>66</w:t>
      </w:r>
      <w:r w:rsidR="00134D73" w:rsidRPr="00134D73">
        <w:fldChar w:fldCharType="end"/>
      </w:r>
      <w:r w:rsidR="00134D73" w:rsidRPr="00134D73">
        <w:t xml:space="preserve"> </w:t>
      </w:r>
      <w:r w:rsidRPr="00134D73">
        <w:t xml:space="preserve">above). </w:t>
      </w:r>
      <w:r w:rsidRPr="00134D73">
        <w:rPr>
          <w:bCs/>
          <w:lang w:val="en-GB"/>
        </w:rPr>
        <w:t xml:space="preserve">In this regard, the Panel must note that almost any investigation at its initial stage lacks a significant amount of information. Finding the </w:t>
      </w:r>
      <w:r w:rsidRPr="00134D73">
        <w:rPr>
          <w:lang w:val="en-GB"/>
        </w:rPr>
        <w:t>necessary</w:t>
      </w:r>
      <w:r w:rsidRPr="00134D73">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134D73">
        <w:rPr>
          <w:bCs/>
          <w:i/>
          <w:lang w:val="en-GB"/>
        </w:rPr>
        <w:t>P.S</w:t>
      </w:r>
      <w:r w:rsidRPr="00134D73">
        <w:rPr>
          <w:bCs/>
          <w:lang w:val="en-GB"/>
        </w:rPr>
        <w:t xml:space="preserve">., no. 48/09, opinion of 31 October 2013, § 107; HRAP, </w:t>
      </w:r>
      <w:r w:rsidRPr="00134D73">
        <w:rPr>
          <w:bCs/>
          <w:i/>
          <w:lang w:val="en-GB"/>
        </w:rPr>
        <w:t>Stevanović</w:t>
      </w:r>
      <w:r w:rsidRPr="00134D73">
        <w:rPr>
          <w:bCs/>
          <w:lang w:val="en-GB"/>
        </w:rPr>
        <w:t>, no. 289/09, opinion of 14 December 2014, § 111).</w:t>
      </w:r>
    </w:p>
    <w:p w:rsidR="00E92DED" w:rsidRPr="00134D73" w:rsidRDefault="00E92DED" w:rsidP="00E92DED">
      <w:pPr>
        <w:pStyle w:val="ListParagraph"/>
        <w:rPr>
          <w:bCs/>
          <w:lang w:val="en-GB"/>
        </w:rPr>
      </w:pPr>
    </w:p>
    <w:p w:rsidR="00FA7F3B" w:rsidRPr="00134D73" w:rsidRDefault="00E92DED" w:rsidP="00FA7F3B">
      <w:pPr>
        <w:pStyle w:val="ListParagraph"/>
        <w:numPr>
          <w:ilvl w:val="0"/>
          <w:numId w:val="2"/>
        </w:numPr>
        <w:tabs>
          <w:tab w:val="clear" w:pos="360"/>
          <w:tab w:val="num" w:pos="450"/>
        </w:tabs>
        <w:autoSpaceDE w:val="0"/>
        <w:ind w:left="450" w:hanging="450"/>
        <w:jc w:val="both"/>
        <w:rPr>
          <w:lang w:val="en-GB"/>
        </w:rPr>
      </w:pPr>
      <w:r w:rsidRPr="00134D73">
        <w:rPr>
          <w:lang w:val="en-GB"/>
        </w:rPr>
        <w:t>Coming to the period within its jurisdiction, starting from 23 April 2005, the Panel notes that after that critical date the failure to conduct the necessary investigative actions, including those at the initial stage, persisted.</w:t>
      </w:r>
      <w:r w:rsidR="00B71C2E" w:rsidRPr="00134D73">
        <w:rPr>
          <w:lang w:val="en-GB"/>
        </w:rPr>
        <w:t xml:space="preserve"> </w:t>
      </w:r>
      <w:r w:rsidRPr="00134D73">
        <w:rPr>
          <w:lang w:val="en-GB"/>
        </w:rPr>
        <w:t xml:space="preserve">Accordingly, inadequacies existing up until that date were not addressed. </w:t>
      </w:r>
      <w:r w:rsidRPr="00134D73">
        <w:rPr>
          <w:bCs/>
          <w:lang w:val="en-GB"/>
        </w:rPr>
        <w:t>Thus</w:t>
      </w:r>
      <w:r w:rsidRPr="00134D73">
        <w:rPr>
          <w:lang w:val="en-GB"/>
        </w:rPr>
        <w:t xml:space="preserve">, in accordance with the continuing obligation to investigate (see § </w:t>
      </w:r>
      <w:r w:rsidRPr="00134D73">
        <w:fldChar w:fldCharType="begin"/>
      </w:r>
      <w:r w:rsidRPr="00134D73">
        <w:instrText xml:space="preserve"> REF _Ref373950745 \r \h  \* MERGEFORMAT </w:instrText>
      </w:r>
      <w:r w:rsidRPr="00134D73">
        <w:fldChar w:fldCharType="separate"/>
      </w:r>
      <w:r w:rsidR="00AB2ED0" w:rsidRPr="00134D73">
        <w:rPr>
          <w:lang w:val="en-GB"/>
        </w:rPr>
        <w:t>83</w:t>
      </w:r>
      <w:r w:rsidRPr="00134D73">
        <w:fldChar w:fldCharType="end"/>
      </w:r>
      <w:r w:rsidRPr="00134D73">
        <w:rPr>
          <w:lang w:val="en-GB"/>
        </w:rPr>
        <w:t xml:space="preserve"> above), the assessment of the whole investigation is brought within the period of the Panel’s jurisdiction.</w:t>
      </w:r>
      <w:r w:rsidR="002617F1" w:rsidRPr="00134D73">
        <w:rPr>
          <w:lang w:val="en-GB"/>
        </w:rPr>
        <w:t xml:space="preserve"> </w:t>
      </w:r>
    </w:p>
    <w:p w:rsidR="00FA7F3B" w:rsidRPr="00134D73" w:rsidRDefault="00FA7F3B" w:rsidP="00FA7F3B">
      <w:pPr>
        <w:pStyle w:val="ListParagraph"/>
        <w:rPr>
          <w:lang w:val="en-GB"/>
        </w:rPr>
      </w:pPr>
    </w:p>
    <w:p w:rsidR="00FA7F3B" w:rsidRPr="00134D73" w:rsidRDefault="000C00BD" w:rsidP="00FA7F3B">
      <w:pPr>
        <w:pStyle w:val="ListParagraph"/>
        <w:numPr>
          <w:ilvl w:val="0"/>
          <w:numId w:val="2"/>
        </w:numPr>
        <w:tabs>
          <w:tab w:val="clear" w:pos="360"/>
          <w:tab w:val="num" w:pos="450"/>
        </w:tabs>
        <w:autoSpaceDE w:val="0"/>
        <w:ind w:left="450" w:hanging="450"/>
        <w:jc w:val="both"/>
        <w:rPr>
          <w:lang w:val="en-GB"/>
        </w:rPr>
      </w:pPr>
      <w:r w:rsidRPr="00134D73">
        <w:rPr>
          <w:lang w:val="en-GB"/>
        </w:rPr>
        <w:t>The Panel notes that</w:t>
      </w:r>
      <w:r w:rsidR="00F85B69" w:rsidRPr="00134D73">
        <w:rPr>
          <w:lang w:val="en-GB"/>
        </w:rPr>
        <w:t xml:space="preserve"> apparently,</w:t>
      </w:r>
      <w:r w:rsidRPr="00134D73">
        <w:rPr>
          <w:lang w:val="en-GB"/>
        </w:rPr>
        <w:t xml:space="preserve"> n</w:t>
      </w:r>
      <w:r w:rsidR="000C0B29" w:rsidRPr="00134D73">
        <w:rPr>
          <w:lang w:val="en-GB"/>
        </w:rPr>
        <w:t xml:space="preserve">o substantive investigative action was undertaken by UNMIK Police in the period within the Panel’s jurisdiction. </w:t>
      </w:r>
    </w:p>
    <w:p w:rsidR="00FA7F3B" w:rsidRPr="00134D73" w:rsidRDefault="00FA7F3B" w:rsidP="00FA7F3B">
      <w:pPr>
        <w:pStyle w:val="ListParagraph"/>
        <w:rPr>
          <w:lang w:val="en-GB"/>
        </w:rPr>
      </w:pPr>
    </w:p>
    <w:p w:rsidR="00FA7F3B" w:rsidRPr="00134D73" w:rsidRDefault="00FA7F3B" w:rsidP="00FA7F3B">
      <w:pPr>
        <w:numPr>
          <w:ilvl w:val="0"/>
          <w:numId w:val="2"/>
        </w:numPr>
        <w:tabs>
          <w:tab w:val="clear" w:pos="360"/>
          <w:tab w:val="num" w:pos="426"/>
          <w:tab w:val="left" w:pos="709"/>
          <w:tab w:val="num" w:pos="786"/>
        </w:tabs>
        <w:suppressAutoHyphens/>
        <w:autoSpaceDE w:val="0"/>
        <w:ind w:left="426" w:hanging="426"/>
        <w:jc w:val="both"/>
        <w:rPr>
          <w:lang w:val="en-GB"/>
        </w:rPr>
      </w:pPr>
      <w:r w:rsidRPr="00134D73">
        <w:rPr>
          <w:lang w:val="en-GB"/>
        </w:rPr>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Pr="00134D73">
        <w:fldChar w:fldCharType="begin"/>
      </w:r>
      <w:r w:rsidRPr="00134D73">
        <w:instrText xml:space="preserve"> REF _Ref346724174 \r \h  \* MERGEFORMAT </w:instrText>
      </w:r>
      <w:r w:rsidRPr="00134D73">
        <w:fldChar w:fldCharType="separate"/>
      </w:r>
      <w:r w:rsidR="00AB2ED0" w:rsidRPr="00134D73">
        <w:rPr>
          <w:lang w:val="en-GB"/>
        </w:rPr>
        <w:t>79</w:t>
      </w:r>
      <w:r w:rsidRPr="00134D73">
        <w:fldChar w:fldCharType="end"/>
      </w:r>
      <w:r w:rsidRPr="00134D73">
        <w:t xml:space="preserve"> </w:t>
      </w:r>
      <w:r w:rsidRPr="00134D73">
        <w:rPr>
          <w:lang w:val="en-GB"/>
        </w:rPr>
        <w:t xml:space="preserve">- </w:t>
      </w:r>
      <w:r w:rsidRPr="00134D73">
        <w:rPr>
          <w:lang w:val="en-GB"/>
        </w:rPr>
        <w:fldChar w:fldCharType="begin"/>
      </w:r>
      <w:r w:rsidRPr="00134D73">
        <w:rPr>
          <w:lang w:val="en-GB"/>
        </w:rPr>
        <w:instrText xml:space="preserve"> REF _Ref401245516 \r \h  \* MERGEFORMAT </w:instrText>
      </w:r>
      <w:r w:rsidRPr="00134D73">
        <w:rPr>
          <w:lang w:val="en-GB"/>
        </w:rPr>
      </w:r>
      <w:r w:rsidRPr="00134D73">
        <w:rPr>
          <w:lang w:val="en-GB"/>
        </w:rPr>
        <w:fldChar w:fldCharType="separate"/>
      </w:r>
      <w:r w:rsidR="00AB2ED0" w:rsidRPr="00134D73">
        <w:rPr>
          <w:lang w:val="en-GB"/>
        </w:rPr>
        <w:t>81</w:t>
      </w:r>
      <w:r w:rsidRPr="00134D73">
        <w:rPr>
          <w:lang w:val="en-GB"/>
        </w:rPr>
        <w:fldChar w:fldCharType="end"/>
      </w:r>
      <w:r w:rsidRPr="00134D73">
        <w:rPr>
          <w:lang w:val="en-GB"/>
        </w:rPr>
        <w:t xml:space="preserve"> above), even when no perpetrators are convicted (see e.g. ECtHR case </w:t>
      </w:r>
      <w:r w:rsidRPr="00134D73">
        <w:rPr>
          <w:i/>
          <w:lang w:val="en-GB"/>
        </w:rPr>
        <w:t>Palić</w:t>
      </w:r>
      <w:r w:rsidRPr="00134D73">
        <w:rPr>
          <w:lang w:val="en-GB"/>
        </w:rPr>
        <w:t xml:space="preserve">, cited in § </w:t>
      </w:r>
      <w:r w:rsidRPr="00134D73">
        <w:fldChar w:fldCharType="begin"/>
      </w:r>
      <w:r w:rsidRPr="00134D73">
        <w:instrText xml:space="preserve"> REF _Ref346724174 \r \h  \* MERGEFORMAT </w:instrText>
      </w:r>
      <w:r w:rsidRPr="00134D73">
        <w:fldChar w:fldCharType="separate"/>
      </w:r>
      <w:r w:rsidR="00AB2ED0" w:rsidRPr="00134D73">
        <w:rPr>
          <w:lang w:val="en-GB"/>
        </w:rPr>
        <w:t>79</w:t>
      </w:r>
      <w:r w:rsidRPr="00134D73">
        <w:fldChar w:fldCharType="end"/>
      </w:r>
      <w:r w:rsidRPr="00134D73">
        <w:rPr>
          <w:lang w:val="en-GB"/>
        </w:rPr>
        <w:t xml:space="preserve"> above, at § 65, or ECtHR [GC</w:t>
      </w:r>
      <w:r w:rsidRPr="00134D73">
        <w:t xml:space="preserve">], </w:t>
      </w:r>
      <w:r w:rsidRPr="00134D73">
        <w:rPr>
          <w:i/>
        </w:rPr>
        <w:t>Giuliani and Gaggio v. Italy</w:t>
      </w:r>
      <w:r w:rsidRPr="00134D73">
        <w:t>, no 23458/02, judgment of 24 March 2011, §§ 301 and 326).</w:t>
      </w:r>
      <w:r w:rsidRPr="00134D73">
        <w:rPr>
          <w:lang w:val="en-GB"/>
        </w:rPr>
        <w:t xml:space="preserve"> In this respect, the Panel also recalls the position of the European Court that “the authorities must </w:t>
      </w:r>
      <w:r w:rsidRPr="00134D73">
        <w:rPr>
          <w:rStyle w:val="sb8d990e2"/>
        </w:rPr>
        <w:t xml:space="preserve">always make a serious attempt to find out what happened and should not rely on hasty or ill-founded </w:t>
      </w:r>
      <w:r w:rsidRPr="00134D73">
        <w:rPr>
          <w:rStyle w:val="sb8d990e2"/>
        </w:rPr>
        <w:lastRenderedPageBreak/>
        <w:t xml:space="preserve">conclusions to close their investigation” </w:t>
      </w:r>
      <w:r w:rsidRPr="00134D73">
        <w:rPr>
          <w:bCs/>
          <w:lang w:val="en-GB"/>
        </w:rPr>
        <w:t>(</w:t>
      </w:r>
      <w:r w:rsidRPr="00134D73">
        <w:rPr>
          <w:lang w:val="en-GB"/>
        </w:rPr>
        <w:t xml:space="preserve">ECtHR [GC], </w:t>
      </w:r>
      <w:r w:rsidRPr="00134D73">
        <w:rPr>
          <w:i/>
          <w:lang w:val="en-GB"/>
        </w:rPr>
        <w:t>El-Masri v. “the former Yugoslav Republic of Macedonia”</w:t>
      </w:r>
      <w:r w:rsidRPr="00134D73">
        <w:rPr>
          <w:lang w:val="en-GB"/>
        </w:rPr>
        <w:t>, cited in</w:t>
      </w:r>
      <w:r w:rsidRPr="00134D73">
        <w:rPr>
          <w:bCs/>
          <w:lang w:val="en-GB"/>
        </w:rPr>
        <w:t xml:space="preserve"> § </w:t>
      </w:r>
      <w:r w:rsidRPr="00134D73">
        <w:fldChar w:fldCharType="begin"/>
      </w:r>
      <w:r w:rsidRPr="00134D73">
        <w:rPr>
          <w:bCs/>
          <w:lang w:val="en-GB"/>
        </w:rPr>
        <w:instrText xml:space="preserve"> REF _Ref401245516 \r \h </w:instrText>
      </w:r>
      <w:r w:rsidRPr="00134D73">
        <w:instrText xml:space="preserve"> \* MERGEFORMAT </w:instrText>
      </w:r>
      <w:r w:rsidRPr="00134D73">
        <w:fldChar w:fldCharType="separate"/>
      </w:r>
      <w:r w:rsidR="00AB2ED0" w:rsidRPr="00134D73">
        <w:rPr>
          <w:bCs/>
          <w:lang w:val="en-GB"/>
        </w:rPr>
        <w:t>81</w:t>
      </w:r>
      <w:r w:rsidRPr="00134D73">
        <w:fldChar w:fldCharType="end"/>
      </w:r>
      <w:r w:rsidRPr="00134D73">
        <w:rPr>
          <w:bCs/>
          <w:lang w:val="en-GB"/>
        </w:rPr>
        <w:t xml:space="preserve"> above, at § 322).</w:t>
      </w:r>
      <w:bookmarkStart w:id="98" w:name="_Ref403724370"/>
      <w:r w:rsidRPr="00134D73">
        <w:rPr>
          <w:bCs/>
          <w:lang w:val="en-GB"/>
        </w:rPr>
        <w:t xml:space="preserve"> </w:t>
      </w:r>
      <w:r w:rsidRPr="00134D73">
        <w:t>However, in this case, before even any minimum substantive action was undertaken and any information collected, the investigation</w:t>
      </w:r>
      <w:r w:rsidRPr="00134D73">
        <w:rPr>
          <w:lang w:val="en-GB"/>
        </w:rPr>
        <w:t xml:space="preserve"> was categorised as “inactive” and subsequently </w:t>
      </w:r>
      <w:r w:rsidRPr="00134D73">
        <w:t>remained without any action for the years to come.</w:t>
      </w:r>
      <w:bookmarkEnd w:id="98"/>
    </w:p>
    <w:p w:rsidR="000C0B29" w:rsidRPr="00134D73" w:rsidRDefault="000C0B29" w:rsidP="00A4015C">
      <w:pPr>
        <w:pStyle w:val="ListParagraph"/>
        <w:rPr>
          <w:lang w:val="en-GB"/>
        </w:rPr>
      </w:pPr>
    </w:p>
    <w:p w:rsidR="00A4015C" w:rsidRPr="00134D73" w:rsidRDefault="00AF205B" w:rsidP="000C0B29">
      <w:pPr>
        <w:pStyle w:val="ListParagraph"/>
        <w:numPr>
          <w:ilvl w:val="0"/>
          <w:numId w:val="2"/>
        </w:numPr>
        <w:tabs>
          <w:tab w:val="clear" w:pos="360"/>
          <w:tab w:val="num" w:pos="450"/>
        </w:tabs>
        <w:autoSpaceDE w:val="0"/>
        <w:ind w:left="450" w:hanging="450"/>
        <w:jc w:val="both"/>
        <w:rPr>
          <w:lang w:val="en-GB"/>
        </w:rPr>
      </w:pPr>
      <w:r w:rsidRPr="00A4015C">
        <w:rPr>
          <w:lang w:val="en-GB"/>
        </w:rPr>
        <w:t xml:space="preserve">The apparent lack of any </w:t>
      </w:r>
      <w:r w:rsidRPr="00A4015C">
        <w:rPr>
          <w:bCs/>
        </w:rPr>
        <w:t xml:space="preserve">adequate </w:t>
      </w:r>
      <w:r w:rsidRPr="00A4015C">
        <w:rPr>
          <w:lang w:val="en-GB"/>
        </w:rPr>
        <w:t xml:space="preserve">reaction from UNMIK Police, and of any adequate action at later stages, may have </w:t>
      </w:r>
      <w:r w:rsidRPr="00A4015C">
        <w:rPr>
          <w:rStyle w:val="sb8d990e2"/>
          <w:color w:val="000000" w:themeColor="text1"/>
        </w:rPr>
        <w:t>suggested</w:t>
      </w:r>
      <w:r w:rsidRPr="00A4015C">
        <w:rPr>
          <w:lang w:val="en-GB"/>
        </w:rPr>
        <w:t xml:space="preserve"> to the perpetrators that the authorities were either not able, or not willing to </w:t>
      </w:r>
      <w:r w:rsidRPr="00A4015C">
        <w:rPr>
          <w:bCs/>
          <w:lang w:val="en-GB"/>
        </w:rPr>
        <w:t>investigate</w:t>
      </w:r>
      <w:r w:rsidRPr="00A4015C">
        <w:rPr>
          <w:lang w:val="en-GB"/>
        </w:rPr>
        <w:t xml:space="preserv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w:t>
      </w:r>
      <w:r w:rsidRPr="00134D73">
        <w:rPr>
          <w:lang w:val="en-GB"/>
        </w:rPr>
        <w:t>discussed above, do not justify such inaction, either at the outset or subsequently.</w:t>
      </w:r>
    </w:p>
    <w:p w:rsidR="00B71C2E" w:rsidRPr="00134D73" w:rsidRDefault="00B71C2E" w:rsidP="00B71C2E">
      <w:pPr>
        <w:pStyle w:val="ListParagraph"/>
        <w:autoSpaceDE w:val="0"/>
        <w:ind w:left="360"/>
        <w:contextualSpacing/>
        <w:jc w:val="both"/>
        <w:rPr>
          <w:lang w:val="en-GB"/>
        </w:rPr>
      </w:pPr>
    </w:p>
    <w:p w:rsidR="000C0B29" w:rsidRPr="00134D73" w:rsidRDefault="00B71C2E" w:rsidP="000C0B29">
      <w:pPr>
        <w:pStyle w:val="ListParagraph"/>
        <w:numPr>
          <w:ilvl w:val="0"/>
          <w:numId w:val="2"/>
        </w:numPr>
        <w:tabs>
          <w:tab w:val="clear" w:pos="360"/>
          <w:tab w:val="num" w:pos="450"/>
        </w:tabs>
        <w:autoSpaceDE w:val="0"/>
        <w:ind w:left="450" w:hanging="450"/>
        <w:jc w:val="both"/>
        <w:rPr>
          <w:lang w:val="en-GB"/>
        </w:rPr>
      </w:pPr>
      <w:r w:rsidRPr="00134D73">
        <w:rPr>
          <w:lang w:val="en-GB"/>
        </w:rPr>
        <w:t xml:space="preserve">In addition, the Panel considers that, as </w:t>
      </w:r>
      <w:r w:rsidRPr="00134D73">
        <w:rPr>
          <w:color w:val="000000"/>
          <w:lang w:val="en-GB"/>
        </w:rPr>
        <w:t>the</w:t>
      </w:r>
      <w:r w:rsidRPr="00134D73">
        <w:rPr>
          <w:lang w:val="en-GB"/>
        </w:rPr>
        <w:t xml:space="preserve"> mortal remains of Mrs </w:t>
      </w:r>
      <w:proofErr w:type="spellStart"/>
      <w:r w:rsidRPr="00134D73">
        <w:rPr>
          <w:lang w:val="en-GB"/>
        </w:rPr>
        <w:t>Slavka</w:t>
      </w:r>
      <w:proofErr w:type="spellEnd"/>
      <w:r w:rsidRPr="00134D73">
        <w:rPr>
          <w:lang w:val="en-GB"/>
        </w:rPr>
        <w:t xml:space="preserve"> </w:t>
      </w:r>
      <w:proofErr w:type="spellStart"/>
      <w:r w:rsidRPr="00134D73">
        <w:rPr>
          <w:lang w:val="en-GB"/>
        </w:rPr>
        <w:t>Pantović</w:t>
      </w:r>
      <w:proofErr w:type="spellEnd"/>
      <w:r w:rsidRPr="00134D73">
        <w:rPr>
          <w:lang w:val="en-GB"/>
        </w:rPr>
        <w:t xml:space="preserve">, Mr </w:t>
      </w:r>
      <w:proofErr w:type="spellStart"/>
      <w:r w:rsidRPr="00134D73">
        <w:rPr>
          <w:lang w:val="en-GB"/>
        </w:rPr>
        <w:t>Milić</w:t>
      </w:r>
      <w:proofErr w:type="spellEnd"/>
      <w:r w:rsidRPr="00134D73">
        <w:rPr>
          <w:lang w:val="en-GB"/>
        </w:rPr>
        <w:t xml:space="preserve"> </w:t>
      </w:r>
      <w:proofErr w:type="spellStart"/>
      <w:r w:rsidRPr="00134D73">
        <w:rPr>
          <w:lang w:val="en-GB"/>
        </w:rPr>
        <w:t>Pantović</w:t>
      </w:r>
      <w:proofErr w:type="spellEnd"/>
      <w:r w:rsidRPr="00134D73">
        <w:rPr>
          <w:lang w:val="en-GB"/>
        </w:rPr>
        <w:t xml:space="preserve"> and Mrs </w:t>
      </w:r>
      <w:proofErr w:type="spellStart"/>
      <w:r w:rsidRPr="00134D73">
        <w:rPr>
          <w:lang w:val="en-GB"/>
        </w:rPr>
        <w:t>Mileva</w:t>
      </w:r>
      <w:proofErr w:type="spellEnd"/>
      <w:r w:rsidRPr="00134D73">
        <w:rPr>
          <w:lang w:val="en-GB"/>
        </w:rPr>
        <w:t xml:space="preserve"> </w:t>
      </w:r>
      <w:proofErr w:type="spellStart"/>
      <w:r w:rsidRPr="00134D73">
        <w:rPr>
          <w:lang w:val="en-GB"/>
        </w:rPr>
        <w:t>Pantović</w:t>
      </w:r>
      <w:proofErr w:type="spellEnd"/>
      <w:r w:rsidRPr="00134D73">
        <w:rPr>
          <w:lang w:val="en-GB"/>
        </w:rPr>
        <w:t xml:space="preserve"> had not been located and those responsible for the crime had not been identified, UNMIK was obliged to use the means at its disposal to regularly review the progress of the investigation to ensure that nothing had been overlooked and any new evidence had been considered, </w:t>
      </w:r>
      <w:r w:rsidR="002130E6" w:rsidRPr="00134D73">
        <w:rPr>
          <w:lang w:val="en-GB"/>
        </w:rPr>
        <w:t>as well as to inform their relatives regarding the progress of this investigation.</w:t>
      </w:r>
      <w:r w:rsidR="000C0B29" w:rsidRPr="00134D73">
        <w:rPr>
          <w:lang w:val="en-GB"/>
        </w:rPr>
        <w:t xml:space="preserve"> As the file shows, the investigative file was reviewed twice, in </w:t>
      </w:r>
      <w:r w:rsidR="000477EB" w:rsidRPr="00134D73">
        <w:rPr>
          <w:lang w:val="en-GB"/>
        </w:rPr>
        <w:t xml:space="preserve">October and December </w:t>
      </w:r>
      <w:r w:rsidR="000C0B29" w:rsidRPr="00134D73">
        <w:rPr>
          <w:lang w:val="en-GB"/>
        </w:rPr>
        <w:t xml:space="preserve">2007 (see </w:t>
      </w:r>
      <w:r w:rsidR="000C0B29" w:rsidRPr="00134D73">
        <w:rPr>
          <w:lang w:val="en-GB" w:eastAsia="en-US"/>
        </w:rPr>
        <w:t xml:space="preserve">§§ </w:t>
      </w:r>
      <w:r w:rsidR="000C0B29" w:rsidRPr="00134D73">
        <w:rPr>
          <w:lang w:val="en-GB" w:eastAsia="en-US"/>
        </w:rPr>
        <w:fldChar w:fldCharType="begin"/>
      </w:r>
      <w:r w:rsidR="000C0B29" w:rsidRPr="00134D73">
        <w:rPr>
          <w:lang w:val="en-GB" w:eastAsia="en-US"/>
        </w:rPr>
        <w:instrText xml:space="preserve"> REF _Ref418246635 \r \h  \* MERGEFORMAT </w:instrText>
      </w:r>
      <w:r w:rsidR="000C0B29" w:rsidRPr="00134D73">
        <w:rPr>
          <w:lang w:val="en-GB" w:eastAsia="en-US"/>
        </w:rPr>
      </w:r>
      <w:r w:rsidR="000C0B29" w:rsidRPr="00134D73">
        <w:rPr>
          <w:lang w:val="en-GB" w:eastAsia="en-US"/>
        </w:rPr>
        <w:fldChar w:fldCharType="separate"/>
      </w:r>
      <w:r w:rsidR="00615374" w:rsidRPr="00134D73">
        <w:rPr>
          <w:lang w:val="en-GB" w:eastAsia="en-US"/>
        </w:rPr>
        <w:t>45</w:t>
      </w:r>
      <w:r w:rsidR="000C0B29" w:rsidRPr="00134D73">
        <w:rPr>
          <w:lang w:val="en-GB" w:eastAsia="en-US"/>
        </w:rPr>
        <w:fldChar w:fldCharType="end"/>
      </w:r>
      <w:r w:rsidR="000C0B29" w:rsidRPr="00134D73">
        <w:rPr>
          <w:lang w:val="en-GB" w:eastAsia="en-US"/>
        </w:rPr>
        <w:t xml:space="preserve"> &amp; </w:t>
      </w:r>
      <w:r w:rsidR="000C0B29" w:rsidRPr="00134D73">
        <w:rPr>
          <w:lang w:val="en-GB" w:eastAsia="en-US"/>
        </w:rPr>
        <w:fldChar w:fldCharType="begin"/>
      </w:r>
      <w:r w:rsidR="000C0B29" w:rsidRPr="00134D73">
        <w:rPr>
          <w:lang w:val="en-GB" w:eastAsia="en-US"/>
        </w:rPr>
        <w:instrText xml:space="preserve"> REF _Ref418246648 \r \h  \* MERGEFORMAT </w:instrText>
      </w:r>
      <w:r w:rsidR="000C0B29" w:rsidRPr="00134D73">
        <w:rPr>
          <w:lang w:val="en-GB" w:eastAsia="en-US"/>
        </w:rPr>
      </w:r>
      <w:r w:rsidR="000C0B29" w:rsidRPr="00134D73">
        <w:rPr>
          <w:lang w:val="en-GB" w:eastAsia="en-US"/>
        </w:rPr>
        <w:fldChar w:fldCharType="separate"/>
      </w:r>
      <w:r w:rsidR="00615374" w:rsidRPr="00134D73">
        <w:rPr>
          <w:lang w:val="en-GB" w:eastAsia="en-US"/>
        </w:rPr>
        <w:t>46</w:t>
      </w:r>
      <w:r w:rsidR="000C0B29" w:rsidRPr="00134D73">
        <w:rPr>
          <w:lang w:val="en-GB" w:eastAsia="en-US"/>
        </w:rPr>
        <w:fldChar w:fldCharType="end"/>
      </w:r>
      <w:r w:rsidR="000C0B29" w:rsidRPr="00134D73">
        <w:rPr>
          <w:lang w:val="en-GB"/>
        </w:rPr>
        <w:t xml:space="preserve"> above). Although there were obvious lines of inquiry to be followed</w:t>
      </w:r>
      <w:r w:rsidR="00F85B69" w:rsidRPr="00134D73">
        <w:rPr>
          <w:lang w:val="en-GB"/>
        </w:rPr>
        <w:t xml:space="preserve"> (see </w:t>
      </w:r>
      <w:r w:rsidR="00F85B69" w:rsidRPr="00134D73">
        <w:rPr>
          <w:lang w:val="en-GB" w:eastAsia="en-US"/>
        </w:rPr>
        <w:t xml:space="preserve">§ </w:t>
      </w:r>
      <w:r w:rsidR="00134D73" w:rsidRPr="00134D73">
        <w:rPr>
          <w:lang w:val="en-GB" w:eastAsia="en-US"/>
        </w:rPr>
        <w:fldChar w:fldCharType="begin"/>
      </w:r>
      <w:r w:rsidR="00134D73" w:rsidRPr="00134D73">
        <w:rPr>
          <w:lang w:val="en-GB" w:eastAsia="en-US"/>
        </w:rPr>
        <w:instrText xml:space="preserve"> REF _Ref419388160 \r \h </w:instrText>
      </w:r>
      <w:r w:rsidR="00134D73">
        <w:rPr>
          <w:lang w:val="en-GB" w:eastAsia="en-US"/>
        </w:rPr>
        <w:instrText xml:space="preserve"> \* MERGEFORMAT </w:instrText>
      </w:r>
      <w:r w:rsidR="00134D73" w:rsidRPr="00134D73">
        <w:rPr>
          <w:lang w:val="en-GB" w:eastAsia="en-US"/>
        </w:rPr>
      </w:r>
      <w:r w:rsidR="00134D73" w:rsidRPr="00134D73">
        <w:rPr>
          <w:lang w:val="en-GB" w:eastAsia="en-US"/>
        </w:rPr>
        <w:fldChar w:fldCharType="separate"/>
      </w:r>
      <w:r w:rsidR="00134D73" w:rsidRPr="00134D73">
        <w:rPr>
          <w:lang w:val="en-GB" w:eastAsia="en-US"/>
        </w:rPr>
        <w:t>107</w:t>
      </w:r>
      <w:r w:rsidR="00134D73" w:rsidRPr="00134D73">
        <w:rPr>
          <w:lang w:val="en-GB" w:eastAsia="en-US"/>
        </w:rPr>
        <w:fldChar w:fldCharType="end"/>
      </w:r>
      <w:r w:rsidR="00134D73" w:rsidRPr="00134D73">
        <w:rPr>
          <w:lang w:val="en-GB" w:eastAsia="en-US"/>
        </w:rPr>
        <w:t xml:space="preserve"> </w:t>
      </w:r>
      <w:r w:rsidR="00F85B69" w:rsidRPr="00134D73">
        <w:rPr>
          <w:lang w:val="en-GB" w:eastAsia="en-US"/>
        </w:rPr>
        <w:t>above)</w:t>
      </w:r>
      <w:r w:rsidR="000C0B29" w:rsidRPr="00134D73">
        <w:rPr>
          <w:lang w:val="en-GB"/>
        </w:rPr>
        <w:t>, those reviews failed to identify them and, as the result, no further action was undertaken on this case by UNMIK Police</w:t>
      </w:r>
      <w:r w:rsidR="000C0B29" w:rsidRPr="00134D73">
        <w:rPr>
          <w:color w:val="FF0000"/>
          <w:lang w:val="en-GB"/>
        </w:rPr>
        <w:t xml:space="preserve">. </w:t>
      </w:r>
    </w:p>
    <w:p w:rsidR="002130E6" w:rsidRPr="00134D73" w:rsidRDefault="002130E6" w:rsidP="002130E6">
      <w:pPr>
        <w:pStyle w:val="ListParagraph"/>
        <w:rPr>
          <w:lang w:val="en-GB"/>
        </w:rPr>
      </w:pPr>
    </w:p>
    <w:p w:rsidR="00E92DED" w:rsidRPr="00134D73" w:rsidRDefault="00752E80" w:rsidP="00E92DED">
      <w:pPr>
        <w:numPr>
          <w:ilvl w:val="0"/>
          <w:numId w:val="2"/>
        </w:numPr>
        <w:tabs>
          <w:tab w:val="left" w:pos="709"/>
        </w:tabs>
        <w:suppressAutoHyphens/>
        <w:autoSpaceDE w:val="0"/>
        <w:ind w:left="450" w:hanging="450"/>
        <w:jc w:val="both"/>
        <w:rPr>
          <w:lang w:val="en-GB"/>
        </w:rPr>
      </w:pPr>
      <w:r w:rsidRPr="00134D73">
        <w:rPr>
          <w:color w:val="000000" w:themeColor="text1"/>
          <w:lang w:val="en-GB"/>
        </w:rPr>
        <w:t xml:space="preserve">The complainant stated to the HRAP that a report was made on an unspecified date to an UNMIK International Prosecutors’ Office (see § </w:t>
      </w:r>
      <w:r w:rsidRPr="00134D73">
        <w:rPr>
          <w:color w:val="000000" w:themeColor="text1"/>
          <w:lang w:val="en-GB"/>
        </w:rPr>
        <w:fldChar w:fldCharType="begin"/>
      </w:r>
      <w:r w:rsidRPr="00134D73">
        <w:rPr>
          <w:color w:val="000000" w:themeColor="text1"/>
          <w:lang w:val="en-GB"/>
        </w:rPr>
        <w:instrText xml:space="preserve"> REF _Ref418245876 \r \h  \* MERGEFORMAT </w:instrText>
      </w:r>
      <w:r w:rsidRPr="00134D73">
        <w:rPr>
          <w:color w:val="000000" w:themeColor="text1"/>
          <w:lang w:val="en-GB"/>
        </w:rPr>
      </w:r>
      <w:r w:rsidRPr="00134D73">
        <w:rPr>
          <w:color w:val="000000" w:themeColor="text1"/>
          <w:lang w:val="en-GB"/>
        </w:rPr>
        <w:fldChar w:fldCharType="separate"/>
      </w:r>
      <w:r w:rsidR="00615374" w:rsidRPr="00134D73">
        <w:rPr>
          <w:color w:val="000000" w:themeColor="text1"/>
          <w:lang w:val="en-GB"/>
        </w:rPr>
        <w:t>24</w:t>
      </w:r>
      <w:r w:rsidRPr="00134D73">
        <w:rPr>
          <w:color w:val="000000" w:themeColor="text1"/>
          <w:lang w:val="en-GB"/>
        </w:rPr>
        <w:fldChar w:fldCharType="end"/>
      </w:r>
      <w:r w:rsidRPr="00134D73">
        <w:rPr>
          <w:color w:val="000000" w:themeColor="text1"/>
          <w:lang w:val="en-GB"/>
        </w:rPr>
        <w:t xml:space="preserve"> above). However</w:t>
      </w:r>
      <w:r w:rsidR="00E92DED" w:rsidRPr="00134D73">
        <w:rPr>
          <w:color w:val="000000" w:themeColor="text1"/>
          <w:lang w:val="en-GB"/>
        </w:rPr>
        <w:t xml:space="preserve">, the file indicates no involvement of a public prosecutor in this investigation during the period under UNMIK’s administration. As the Panel has mentioned previously, a proper prosecutorial review of the investigative file might have resulted in additional recommendations, so that the case would not have remained inactive for years to come (see HRAP, </w:t>
      </w:r>
      <w:r w:rsidR="00E92DED" w:rsidRPr="00134D73">
        <w:rPr>
          <w:i/>
          <w:color w:val="000000" w:themeColor="text1"/>
          <w:lang w:val="en-GB"/>
        </w:rPr>
        <w:t>Stojković</w:t>
      </w:r>
      <w:r w:rsidR="00E92DED" w:rsidRPr="00134D73">
        <w:rPr>
          <w:color w:val="000000" w:themeColor="text1"/>
          <w:lang w:val="en-GB"/>
        </w:rPr>
        <w:t>, no. 87/09, opinion of 14 December 2013, § 160). Thus, in the Panel’s view, the review of the investigative files was far from being adequate.</w:t>
      </w:r>
    </w:p>
    <w:p w:rsidR="002130E6" w:rsidRPr="00134D73" w:rsidRDefault="002130E6" w:rsidP="002130E6">
      <w:pPr>
        <w:pStyle w:val="ListParagraph"/>
        <w:rPr>
          <w:lang w:val="en-GB"/>
        </w:rPr>
      </w:pPr>
    </w:p>
    <w:p w:rsidR="002130E6" w:rsidRPr="00134D73" w:rsidRDefault="002130E6" w:rsidP="002130E6">
      <w:pPr>
        <w:numPr>
          <w:ilvl w:val="0"/>
          <w:numId w:val="2"/>
        </w:numPr>
        <w:tabs>
          <w:tab w:val="clear" w:pos="360"/>
          <w:tab w:val="num" w:pos="426"/>
          <w:tab w:val="left" w:pos="709"/>
          <w:tab w:val="num" w:pos="786"/>
        </w:tabs>
        <w:suppressAutoHyphens/>
        <w:autoSpaceDE w:val="0"/>
        <w:ind w:left="426" w:hanging="426"/>
        <w:jc w:val="both"/>
        <w:rPr>
          <w:rStyle w:val="sb8d990e2"/>
        </w:rPr>
      </w:pPr>
      <w:bookmarkStart w:id="99" w:name="_Ref411345316"/>
      <w:r w:rsidRPr="00134D73">
        <w:rPr>
          <w:lang w:val="en-GB"/>
        </w:rPr>
        <w:t xml:space="preserve">As the complainant and his family had moved to Serbia proper, </w:t>
      </w:r>
      <w:r w:rsidRPr="00134D73">
        <w:rPr>
          <w:rStyle w:val="sb8d990e2"/>
        </w:rPr>
        <w:t xml:space="preserve">the Panel recalls the general need to take into account the special vulnerability of displaced persons in post-conflict situations (see § </w:t>
      </w:r>
      <w:r w:rsidRPr="00134D73">
        <w:fldChar w:fldCharType="begin"/>
      </w:r>
      <w:r w:rsidRPr="00134D73">
        <w:rPr>
          <w:rStyle w:val="sb8d990e2"/>
        </w:rPr>
        <w:instrText xml:space="preserve"> REF _Ref414025885 \r \h </w:instrText>
      </w:r>
      <w:r w:rsidRPr="00134D73">
        <w:instrText xml:space="preserve"> \* MERGEFORMAT </w:instrText>
      </w:r>
      <w:r w:rsidRPr="00134D73">
        <w:fldChar w:fldCharType="separate"/>
      </w:r>
      <w:r w:rsidR="00AB2ED0" w:rsidRPr="00134D73">
        <w:rPr>
          <w:rStyle w:val="sb8d990e2"/>
        </w:rPr>
        <w:t>93</w:t>
      </w:r>
      <w:r w:rsidRPr="00134D73">
        <w:fldChar w:fldCharType="end"/>
      </w:r>
      <w:r w:rsidRPr="00134D73">
        <w:t xml:space="preserve"> </w:t>
      </w:r>
      <w:r w:rsidRPr="00134D73">
        <w:rPr>
          <w:rStyle w:val="sb8d990e2"/>
        </w:rPr>
        <w:t xml:space="preserve">above). Thus, in the Panel’s view, it was for UNMIK to reach out to them, and not for them to come back to Kosovo, from where they had left for security reasons, to try to find out what had happened to their relative or to the investigation (see HRAP, </w:t>
      </w:r>
      <w:r w:rsidRPr="00134D73">
        <w:rPr>
          <w:rStyle w:val="sb8d990e2"/>
          <w:i/>
        </w:rPr>
        <w:t>Buljević</w:t>
      </w:r>
      <w:r w:rsidRPr="00134D73">
        <w:rPr>
          <w:rStyle w:val="sb8d990e2"/>
        </w:rPr>
        <w:t>, case no. 146/09, opinion of 13 December 2013, § 100).</w:t>
      </w:r>
      <w:bookmarkEnd w:id="99"/>
    </w:p>
    <w:p w:rsidR="00E92DED" w:rsidRPr="00134D73" w:rsidRDefault="00E92DED" w:rsidP="00E92DED">
      <w:pPr>
        <w:tabs>
          <w:tab w:val="left" w:pos="709"/>
        </w:tabs>
        <w:suppressAutoHyphens/>
        <w:autoSpaceDE w:val="0"/>
        <w:jc w:val="both"/>
        <w:rPr>
          <w:lang w:val="en-GB"/>
        </w:rPr>
      </w:pPr>
    </w:p>
    <w:p w:rsidR="00E92DED" w:rsidRPr="00134D73" w:rsidRDefault="00E92DED" w:rsidP="00E92DED">
      <w:pPr>
        <w:pStyle w:val="ListParagraph"/>
        <w:numPr>
          <w:ilvl w:val="0"/>
          <w:numId w:val="2"/>
        </w:numPr>
        <w:tabs>
          <w:tab w:val="clear" w:pos="360"/>
          <w:tab w:val="num" w:pos="450"/>
        </w:tabs>
        <w:autoSpaceDE w:val="0"/>
        <w:ind w:left="450" w:hanging="450"/>
        <w:jc w:val="both"/>
        <w:rPr>
          <w:lang w:val="en-GB"/>
        </w:rPr>
      </w:pPr>
      <w:r w:rsidRPr="00134D73">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w:t>
      </w:r>
      <w:r w:rsidRPr="00134D73">
        <w:rPr>
          <w:lang w:val="en-GB"/>
        </w:rPr>
        <w:lastRenderedPageBreak/>
        <w:t xml:space="preserve">taken by UNMIK towards identifying the perpetrators and bringing them to justice. In this sense the Panel considers that the investigation was not adequate and did not comply with the requirements of promptness, expedition and effectiveness (see § </w:t>
      </w:r>
      <w:r w:rsidRPr="00134D73">
        <w:fldChar w:fldCharType="begin"/>
      </w:r>
      <w:r w:rsidRPr="00134D73">
        <w:rPr>
          <w:lang w:val="en-GB"/>
        </w:rPr>
        <w:instrText xml:space="preserve"> REF _Ref404684740 \r \h </w:instrText>
      </w:r>
      <w:r w:rsidRPr="00134D73">
        <w:instrText xml:space="preserve"> \* MERGEFORMAT </w:instrText>
      </w:r>
      <w:r w:rsidRPr="00134D73">
        <w:fldChar w:fldCharType="separate"/>
      </w:r>
      <w:r w:rsidR="00AB2ED0" w:rsidRPr="00134D73">
        <w:rPr>
          <w:lang w:val="en-GB"/>
        </w:rPr>
        <w:t>82</w:t>
      </w:r>
      <w:r w:rsidRPr="00134D73">
        <w:fldChar w:fldCharType="end"/>
      </w:r>
      <w:r w:rsidRPr="00134D73">
        <w:rPr>
          <w:lang w:val="en-GB"/>
        </w:rPr>
        <w:t xml:space="preserve"> above), as required by Article 2 of the ECHR.</w:t>
      </w:r>
    </w:p>
    <w:p w:rsidR="00E92DED" w:rsidRPr="00134D73" w:rsidRDefault="00E92DED" w:rsidP="00E92DED">
      <w:pPr>
        <w:tabs>
          <w:tab w:val="left" w:pos="709"/>
        </w:tabs>
        <w:suppressAutoHyphens/>
        <w:autoSpaceDE w:val="0"/>
        <w:ind w:left="450"/>
        <w:jc w:val="both"/>
        <w:rPr>
          <w:lang w:val="en-GB"/>
        </w:rPr>
      </w:pPr>
    </w:p>
    <w:p w:rsidR="00E92DED" w:rsidRPr="00134D73" w:rsidRDefault="00E92DED" w:rsidP="00E92DED">
      <w:pPr>
        <w:numPr>
          <w:ilvl w:val="0"/>
          <w:numId w:val="2"/>
        </w:numPr>
        <w:tabs>
          <w:tab w:val="clear" w:pos="360"/>
          <w:tab w:val="left" w:pos="709"/>
        </w:tabs>
        <w:suppressAutoHyphens/>
        <w:autoSpaceDE w:val="0"/>
        <w:ind w:left="450" w:hanging="450"/>
        <w:jc w:val="both"/>
      </w:pPr>
      <w:r w:rsidRPr="00134D73">
        <w:t xml:space="preserve">As </w:t>
      </w:r>
      <w:r w:rsidRPr="00134D73">
        <w:rPr>
          <w:lang w:val="en-GB"/>
        </w:rPr>
        <w:t>concerns</w:t>
      </w:r>
      <w:r w:rsidRPr="00134D73">
        <w:rPr>
          <w:lang w:val="en-GB" w:eastAsia="en-GB"/>
        </w:rPr>
        <w:t xml:space="preserve"> the requirement of </w:t>
      </w:r>
      <w:r w:rsidRPr="00134D73">
        <w:t>public</w:t>
      </w:r>
      <w:r w:rsidRPr="00134D73">
        <w:rPr>
          <w:lang w:val="en-GB" w:eastAsia="en-GB"/>
        </w:rPr>
        <w:t xml:space="preserve"> scrutiny, the Panel recalls that Article 2 also requires </w:t>
      </w:r>
      <w:r w:rsidRPr="00134D73">
        <w:rPr>
          <w:lang w:val="en-GB"/>
        </w:rPr>
        <w:t>the</w:t>
      </w:r>
      <w:r w:rsidRPr="00134D73">
        <w:rPr>
          <w:lang w:val="en-GB" w:eastAsia="en-GB"/>
        </w:rPr>
        <w:t xml:space="preserve"> victims’ next-of-kin to be involved in the investigation to the extent necessary to safeguard his or her legitimate interests.</w:t>
      </w:r>
    </w:p>
    <w:p w:rsidR="00E92DED" w:rsidRPr="00134D73" w:rsidRDefault="00E92DED" w:rsidP="00E92DED">
      <w:pPr>
        <w:pStyle w:val="ListParagraph"/>
      </w:pPr>
    </w:p>
    <w:p w:rsidR="00E92DED" w:rsidRPr="00134D73" w:rsidRDefault="00E92DED" w:rsidP="00E92DED">
      <w:pPr>
        <w:numPr>
          <w:ilvl w:val="0"/>
          <w:numId w:val="2"/>
        </w:numPr>
        <w:tabs>
          <w:tab w:val="clear" w:pos="360"/>
          <w:tab w:val="left" w:pos="709"/>
        </w:tabs>
        <w:suppressAutoHyphens/>
        <w:autoSpaceDE w:val="0"/>
        <w:ind w:left="450" w:hanging="450"/>
        <w:jc w:val="both"/>
      </w:pPr>
      <w:bookmarkStart w:id="100" w:name="_Ref409183639"/>
      <w:r w:rsidRPr="00134D73">
        <w:t xml:space="preserve">The investigative file shows </w:t>
      </w:r>
      <w:r w:rsidR="00445981" w:rsidRPr="00134D73">
        <w:t>that</w:t>
      </w:r>
      <w:r w:rsidR="00C02D0C" w:rsidRPr="00134D73">
        <w:t xml:space="preserve"> the</w:t>
      </w:r>
      <w:r w:rsidR="00AF205B" w:rsidRPr="00134D73">
        <w:t xml:space="preserve">re were at least two </w:t>
      </w:r>
      <w:r w:rsidR="00445981" w:rsidRPr="00134D73">
        <w:t>contact</w:t>
      </w:r>
      <w:r w:rsidR="00AF205B" w:rsidRPr="00134D73">
        <w:t>s</w:t>
      </w:r>
      <w:r w:rsidR="00D92178" w:rsidRPr="00134D73">
        <w:t xml:space="preserve"> </w:t>
      </w:r>
      <w:r w:rsidR="00AF205B" w:rsidRPr="00134D73">
        <w:t xml:space="preserve">made </w:t>
      </w:r>
      <w:r w:rsidRPr="00134D73">
        <w:t xml:space="preserve">between UNMIK investigators and </w:t>
      </w:r>
      <w:r w:rsidR="00AF205B" w:rsidRPr="00134D73">
        <w:t xml:space="preserve">a sister of Mrs </w:t>
      </w:r>
      <w:proofErr w:type="spellStart"/>
      <w:r w:rsidR="00AF205B" w:rsidRPr="00134D73">
        <w:t>Slavka</w:t>
      </w:r>
      <w:proofErr w:type="spellEnd"/>
      <w:r w:rsidR="00AF205B" w:rsidRPr="00134D73">
        <w:t xml:space="preserve"> </w:t>
      </w:r>
      <w:proofErr w:type="spellStart"/>
      <w:r w:rsidR="00AF205B" w:rsidRPr="00134D73">
        <w:t>Pantović</w:t>
      </w:r>
      <w:proofErr w:type="spellEnd"/>
      <w:r w:rsidR="00AF205B" w:rsidRPr="00134D73">
        <w:t xml:space="preserve">. The first was to identify the </w:t>
      </w:r>
      <w:r w:rsidR="00153D95" w:rsidRPr="00134D73">
        <w:rPr>
          <w:lang w:val="en-GB"/>
        </w:rPr>
        <w:t>items</w:t>
      </w:r>
      <w:r w:rsidR="00AF205B" w:rsidRPr="00134D73">
        <w:t xml:space="preserve"> found with the mortal remains at a gravesite, see § </w:t>
      </w:r>
      <w:r w:rsidR="00A4758F" w:rsidRPr="00134D73">
        <w:fldChar w:fldCharType="begin"/>
      </w:r>
      <w:r w:rsidR="00A4758F" w:rsidRPr="00134D73">
        <w:instrText xml:space="preserve"> REF _Ref418085216 \r \h </w:instrText>
      </w:r>
      <w:r w:rsidR="00A259B2" w:rsidRPr="00134D73">
        <w:instrText xml:space="preserve"> \* MERGEFORMAT </w:instrText>
      </w:r>
      <w:r w:rsidR="00A4758F" w:rsidRPr="00134D73">
        <w:fldChar w:fldCharType="separate"/>
      </w:r>
      <w:r w:rsidR="00AB2ED0" w:rsidRPr="00134D73">
        <w:t>37</w:t>
      </w:r>
      <w:r w:rsidR="00A4758F" w:rsidRPr="00134D73">
        <w:fldChar w:fldCharType="end"/>
      </w:r>
      <w:r w:rsidR="00A4758F" w:rsidRPr="00134D73">
        <w:t xml:space="preserve"> above, and the second</w:t>
      </w:r>
      <w:r w:rsidR="00AF205B" w:rsidRPr="00134D73">
        <w:t xml:space="preserve"> </w:t>
      </w:r>
      <w:r w:rsidR="00D92178" w:rsidRPr="00134D73">
        <w:t>was</w:t>
      </w:r>
      <w:r w:rsidRPr="00134D73">
        <w:t xml:space="preserve"> the telephone</w:t>
      </w:r>
      <w:r w:rsidR="00D92178" w:rsidRPr="00134D73">
        <w:t xml:space="preserve"> call</w:t>
      </w:r>
      <w:r w:rsidRPr="00134D73">
        <w:t xml:space="preserve"> placed by WCIU investigators</w:t>
      </w:r>
      <w:r w:rsidR="009A6E2B" w:rsidRPr="00134D73">
        <w:t xml:space="preserve"> </w:t>
      </w:r>
      <w:r w:rsidRPr="00134D73">
        <w:t>(see §</w:t>
      </w:r>
      <w:r w:rsidR="00A4758F" w:rsidRPr="00134D73">
        <w:t xml:space="preserve"> </w:t>
      </w:r>
      <w:r w:rsidR="00A4758F" w:rsidRPr="00134D73">
        <w:fldChar w:fldCharType="begin"/>
      </w:r>
      <w:r w:rsidR="00A4758F" w:rsidRPr="00134D73">
        <w:instrText xml:space="preserve"> REF _Ref418239588 \r \h </w:instrText>
      </w:r>
      <w:r w:rsidR="00A259B2" w:rsidRPr="00134D73">
        <w:instrText xml:space="preserve"> \* MERGEFORMAT </w:instrText>
      </w:r>
      <w:r w:rsidR="00A4758F" w:rsidRPr="00134D73">
        <w:fldChar w:fldCharType="separate"/>
      </w:r>
      <w:r w:rsidR="00AB2ED0" w:rsidRPr="00134D73">
        <w:t>40</w:t>
      </w:r>
      <w:r w:rsidR="00A4758F" w:rsidRPr="00134D73">
        <w:fldChar w:fldCharType="end"/>
      </w:r>
      <w:r w:rsidR="00A4758F" w:rsidRPr="00134D73">
        <w:t xml:space="preserve"> </w:t>
      </w:r>
      <w:r w:rsidRPr="00134D73">
        <w:t xml:space="preserve">above). No further contact is documented in the file, including informing the complainant and </w:t>
      </w:r>
      <w:r w:rsidR="00A4758F" w:rsidRPr="00134D73">
        <w:t xml:space="preserve">his </w:t>
      </w:r>
      <w:r w:rsidRPr="00134D73">
        <w:t xml:space="preserve">family about the status of the investigation. </w:t>
      </w:r>
      <w:r w:rsidR="00ED4585" w:rsidRPr="00134D73">
        <w:rPr>
          <w:lang w:val="en-GB"/>
        </w:rPr>
        <w:t>It is particularly important to note that the complainant’s family mem</w:t>
      </w:r>
      <w:r w:rsidR="00D250D1" w:rsidRPr="00134D73">
        <w:rPr>
          <w:lang w:val="en-GB"/>
        </w:rPr>
        <w:t>bers contact details</w:t>
      </w:r>
      <w:r w:rsidR="00ED4585" w:rsidRPr="00134D73">
        <w:rPr>
          <w:lang w:val="en-GB"/>
        </w:rPr>
        <w:t xml:space="preserve"> in Serbia proper were available to UNMIK Police from the </w:t>
      </w:r>
      <w:r w:rsidR="000477EB" w:rsidRPr="00134D73">
        <w:rPr>
          <w:lang w:val="en-GB"/>
        </w:rPr>
        <w:t>2002 and 2003</w:t>
      </w:r>
      <w:r w:rsidR="00ED4585" w:rsidRPr="00134D73">
        <w:rPr>
          <w:lang w:val="en-GB"/>
        </w:rPr>
        <w:t>.</w:t>
      </w:r>
      <w:r w:rsidR="00ED4585" w:rsidRPr="00134D73">
        <w:rPr>
          <w:rStyle w:val="sb8d990e2"/>
        </w:rPr>
        <w:t xml:space="preserve"> </w:t>
      </w:r>
      <w:r w:rsidRPr="00134D73">
        <w:rPr>
          <w:lang w:val="en-GB"/>
        </w:rPr>
        <w:t>The Panel therefore considers that the investigation was not open to any public scrutiny, as required by Article 2 of the ECHR</w:t>
      </w:r>
      <w:r w:rsidR="00F251DE" w:rsidRPr="00134D73">
        <w:rPr>
          <w:lang w:val="en-GB"/>
        </w:rPr>
        <w:t xml:space="preserve"> </w:t>
      </w:r>
      <w:bookmarkEnd w:id="100"/>
      <w:r w:rsidR="00A4758F" w:rsidRPr="00134D73">
        <w:rPr>
          <w:lang w:val="en-GB"/>
        </w:rPr>
        <w:t xml:space="preserve">(see, </w:t>
      </w:r>
      <w:r w:rsidR="00A4758F" w:rsidRPr="00134D73">
        <w:rPr>
          <w:i/>
          <w:iCs/>
          <w:lang w:val="en-GB"/>
        </w:rPr>
        <w:t>a contrario</w:t>
      </w:r>
      <w:r w:rsidR="00A4758F" w:rsidRPr="00134D73">
        <w:rPr>
          <w:lang w:val="en-GB"/>
        </w:rPr>
        <w:t xml:space="preserve">,  ECtHR [GC], </w:t>
      </w:r>
      <w:r w:rsidR="00A4758F" w:rsidRPr="00134D73">
        <w:rPr>
          <w:i/>
          <w:iCs/>
          <w:lang w:val="en-GB"/>
        </w:rPr>
        <w:t>Mustafa Tunç and Fecire Tunç v. Turkey</w:t>
      </w:r>
      <w:r w:rsidR="00A4758F" w:rsidRPr="00134D73">
        <w:rPr>
          <w:lang w:val="en-GB"/>
        </w:rPr>
        <w:t>, no. 24014/05</w:t>
      </w:r>
      <w:r w:rsidR="00F85B69" w:rsidRPr="00134D73">
        <w:rPr>
          <w:lang w:val="en-GB"/>
        </w:rPr>
        <w:t>, judgment of 14 April 201</w:t>
      </w:r>
      <w:r w:rsidR="00A4758F" w:rsidRPr="00134D73">
        <w:rPr>
          <w:lang w:val="en-GB"/>
        </w:rPr>
        <w:t>5, §§ 210 - 216).</w:t>
      </w:r>
    </w:p>
    <w:p w:rsidR="00E92DED" w:rsidRPr="00134D73" w:rsidRDefault="00E92DED" w:rsidP="00E92DED">
      <w:pPr>
        <w:pStyle w:val="ListParagraph"/>
      </w:pPr>
    </w:p>
    <w:p w:rsidR="00E92DED" w:rsidRPr="00134D73" w:rsidRDefault="00D92178" w:rsidP="00E92DED">
      <w:pPr>
        <w:numPr>
          <w:ilvl w:val="0"/>
          <w:numId w:val="2"/>
        </w:numPr>
        <w:tabs>
          <w:tab w:val="clear" w:pos="360"/>
          <w:tab w:val="left" w:pos="709"/>
        </w:tabs>
        <w:suppressAutoHyphens/>
        <w:autoSpaceDE w:val="0"/>
        <w:ind w:left="450" w:hanging="450"/>
        <w:jc w:val="both"/>
      </w:pPr>
      <w:r w:rsidRPr="00134D73">
        <w:rPr>
          <w:color w:val="000000" w:themeColor="text1"/>
          <w:lang w:val="en-GB"/>
        </w:rPr>
        <w:t>I</w:t>
      </w:r>
      <w:r w:rsidR="00E92DED" w:rsidRPr="00134D73">
        <w:rPr>
          <w:color w:val="000000" w:themeColor="text1"/>
          <w:lang w:val="en-GB"/>
        </w:rPr>
        <w:t>n light of the shortcomings and deficiencies in the investigation described above,</w:t>
      </w:r>
      <w:r w:rsidRPr="00134D73">
        <w:rPr>
          <w:color w:val="000000" w:themeColor="text1"/>
          <w:lang w:val="en-GB"/>
        </w:rPr>
        <w:t xml:space="preserve"> the Panel</w:t>
      </w:r>
      <w:r w:rsidR="00E92DED" w:rsidRPr="00134D73">
        <w:rPr>
          <w:color w:val="000000" w:themeColor="text1"/>
          <w:lang w:val="en-GB"/>
        </w:rPr>
        <w:t xml:space="preserve"> considers that the case of </w:t>
      </w:r>
      <w:r w:rsidR="00A4758F" w:rsidRPr="00134D73">
        <w:rPr>
          <w:lang w:val="en-GB"/>
        </w:rPr>
        <w:t xml:space="preserve">Mrs </w:t>
      </w:r>
      <w:proofErr w:type="spellStart"/>
      <w:r w:rsidR="00A4758F" w:rsidRPr="00134D73">
        <w:rPr>
          <w:lang w:val="en-GB"/>
        </w:rPr>
        <w:t>Slavka</w:t>
      </w:r>
      <w:proofErr w:type="spellEnd"/>
      <w:r w:rsidR="00A4758F" w:rsidRPr="00134D73">
        <w:rPr>
          <w:lang w:val="en-GB"/>
        </w:rPr>
        <w:t xml:space="preserve"> </w:t>
      </w:r>
      <w:proofErr w:type="spellStart"/>
      <w:r w:rsidR="00A4758F" w:rsidRPr="00134D73">
        <w:rPr>
          <w:lang w:val="en-GB"/>
        </w:rPr>
        <w:t>Pantović</w:t>
      </w:r>
      <w:proofErr w:type="spellEnd"/>
      <w:r w:rsidR="00A4758F" w:rsidRPr="00134D73">
        <w:rPr>
          <w:lang w:val="en-GB"/>
        </w:rPr>
        <w:t xml:space="preserve">, Mr </w:t>
      </w:r>
      <w:proofErr w:type="spellStart"/>
      <w:r w:rsidR="00A4758F" w:rsidRPr="00134D73">
        <w:rPr>
          <w:lang w:val="en-GB"/>
        </w:rPr>
        <w:t>Milić</w:t>
      </w:r>
      <w:proofErr w:type="spellEnd"/>
      <w:r w:rsidR="00A4758F" w:rsidRPr="00134D73">
        <w:rPr>
          <w:lang w:val="en-GB"/>
        </w:rPr>
        <w:t xml:space="preserve"> </w:t>
      </w:r>
      <w:proofErr w:type="spellStart"/>
      <w:r w:rsidR="00A4758F" w:rsidRPr="00134D73">
        <w:rPr>
          <w:lang w:val="en-GB"/>
        </w:rPr>
        <w:t>Pantović</w:t>
      </w:r>
      <w:proofErr w:type="spellEnd"/>
      <w:r w:rsidR="00A4758F" w:rsidRPr="00134D73">
        <w:rPr>
          <w:lang w:val="en-GB"/>
        </w:rPr>
        <w:t xml:space="preserve"> and Mrs </w:t>
      </w:r>
      <w:proofErr w:type="spellStart"/>
      <w:r w:rsidR="00A4758F" w:rsidRPr="00134D73">
        <w:rPr>
          <w:lang w:val="en-GB"/>
        </w:rPr>
        <w:t>Mileva</w:t>
      </w:r>
      <w:proofErr w:type="spellEnd"/>
      <w:r w:rsidR="00A4758F" w:rsidRPr="00134D73">
        <w:rPr>
          <w:lang w:val="en-GB"/>
        </w:rPr>
        <w:t xml:space="preserve"> </w:t>
      </w:r>
      <w:proofErr w:type="spellStart"/>
      <w:r w:rsidR="00A4758F" w:rsidRPr="00134D73">
        <w:rPr>
          <w:lang w:val="en-GB"/>
        </w:rPr>
        <w:t>Pantović</w:t>
      </w:r>
      <w:proofErr w:type="spellEnd"/>
      <w:r w:rsidR="00E92DED" w:rsidRPr="00134D73">
        <w:rPr>
          <w:color w:val="000000" w:themeColor="text1"/>
          <w:lang w:val="en-GB"/>
        </w:rPr>
        <w:t xml:space="preserve">, as well as other cases </w:t>
      </w:r>
      <w:r w:rsidR="008D1B18" w:rsidRPr="00134D73">
        <w:rPr>
          <w:color w:val="000000" w:themeColor="text1"/>
          <w:lang w:val="en-GB"/>
        </w:rPr>
        <w:t xml:space="preserve">of </w:t>
      </w:r>
      <w:r w:rsidR="00E92DED" w:rsidRPr="00134D73">
        <w:rPr>
          <w:color w:val="000000" w:themeColor="text1"/>
          <w:lang w:val="en-GB"/>
        </w:rPr>
        <w:t xml:space="preserve">abductions and disappearances previously examined, well exemplify a pattern </w:t>
      </w:r>
      <w:r w:rsidR="00E92DED" w:rsidRPr="00134D73">
        <w:t xml:space="preserve">of perfunctory and </w:t>
      </w:r>
      <w:r w:rsidR="00E92DED" w:rsidRPr="00134D73">
        <w:rPr>
          <w:color w:val="000000" w:themeColor="text1"/>
          <w:lang w:val="en-GB"/>
        </w:rPr>
        <w:t xml:space="preserve">unproductive investigations conducted by the UNMIK Police into disappearances in Kosovo (see § </w:t>
      </w:r>
      <w:r w:rsidR="00E92DED" w:rsidRPr="00134D73">
        <w:rPr>
          <w:color w:val="000000" w:themeColor="text1"/>
          <w:lang w:val="en-GB"/>
        </w:rPr>
        <w:fldChar w:fldCharType="begin"/>
      </w:r>
      <w:r w:rsidR="00E92DED" w:rsidRPr="00134D73">
        <w:rPr>
          <w:color w:val="000000" w:themeColor="text1"/>
          <w:lang w:val="en-GB"/>
        </w:rPr>
        <w:instrText xml:space="preserve"> REF _Ref403834230 \r \h  \* MERGEFORMAT </w:instrText>
      </w:r>
      <w:r w:rsidR="00E92DED" w:rsidRPr="00134D73">
        <w:rPr>
          <w:color w:val="000000" w:themeColor="text1"/>
          <w:lang w:val="en-GB"/>
        </w:rPr>
      </w:r>
      <w:r w:rsidR="00E92DED" w:rsidRPr="00134D73">
        <w:rPr>
          <w:color w:val="000000" w:themeColor="text1"/>
          <w:lang w:val="en-GB"/>
        </w:rPr>
        <w:fldChar w:fldCharType="separate"/>
      </w:r>
      <w:r w:rsidR="00AB2ED0" w:rsidRPr="00134D73">
        <w:rPr>
          <w:color w:val="000000" w:themeColor="text1"/>
          <w:lang w:val="en-GB"/>
        </w:rPr>
        <w:t>96</w:t>
      </w:r>
      <w:r w:rsidR="00E92DED" w:rsidRPr="00134D73">
        <w:rPr>
          <w:color w:val="000000" w:themeColor="text1"/>
          <w:lang w:val="en-GB"/>
        </w:rPr>
        <w:fldChar w:fldCharType="end"/>
      </w:r>
      <w:r w:rsidR="00E92DED" w:rsidRPr="00134D73">
        <w:rPr>
          <w:color w:val="000000" w:themeColor="text1"/>
          <w:lang w:val="en-GB"/>
        </w:rPr>
        <w:t xml:space="preserve"> above; compare with HRC, </w:t>
      </w:r>
      <w:r w:rsidR="00E92DED" w:rsidRPr="00134D73">
        <w:rPr>
          <w:i/>
          <w:color w:val="000000" w:themeColor="text1"/>
          <w:lang w:val="en-GB"/>
        </w:rPr>
        <w:t>Abubakar Amirov and Aïzan Amirova v. Russian Federation</w:t>
      </w:r>
      <w:r w:rsidR="00E92DED" w:rsidRPr="00134D73">
        <w:rPr>
          <w:color w:val="000000" w:themeColor="text1"/>
          <w:lang w:val="en-GB"/>
        </w:rPr>
        <w:t xml:space="preserve">, cited in § </w:t>
      </w:r>
      <w:r w:rsidR="00E92DED" w:rsidRPr="00134D73">
        <w:rPr>
          <w:color w:val="000000" w:themeColor="text1"/>
          <w:lang w:val="en-GB"/>
        </w:rPr>
        <w:fldChar w:fldCharType="begin"/>
      </w:r>
      <w:r w:rsidR="00E92DED" w:rsidRPr="00134D73">
        <w:rPr>
          <w:color w:val="000000" w:themeColor="text1"/>
          <w:lang w:val="en-GB"/>
        </w:rPr>
        <w:instrText xml:space="preserve"> REF _Ref404685440 \r \h  \* MERGEFORMAT </w:instrText>
      </w:r>
      <w:r w:rsidR="00E92DED" w:rsidRPr="00134D73">
        <w:rPr>
          <w:color w:val="000000" w:themeColor="text1"/>
          <w:lang w:val="en-GB"/>
        </w:rPr>
      </w:r>
      <w:r w:rsidR="00E92DED" w:rsidRPr="00134D73">
        <w:rPr>
          <w:color w:val="000000" w:themeColor="text1"/>
          <w:lang w:val="en-GB"/>
        </w:rPr>
        <w:fldChar w:fldCharType="separate"/>
      </w:r>
      <w:r w:rsidR="00AB2ED0" w:rsidRPr="00134D73">
        <w:rPr>
          <w:color w:val="000000" w:themeColor="text1"/>
          <w:lang w:val="en-GB"/>
        </w:rPr>
        <w:t>92</w:t>
      </w:r>
      <w:r w:rsidR="00E92DED" w:rsidRPr="00134D73">
        <w:rPr>
          <w:color w:val="000000" w:themeColor="text1"/>
          <w:lang w:val="en-GB"/>
        </w:rPr>
        <w:fldChar w:fldCharType="end"/>
      </w:r>
      <w:r w:rsidR="00E92DED" w:rsidRPr="00134D73">
        <w:rPr>
          <w:color w:val="000000" w:themeColor="text1"/>
          <w:lang w:val="en-GB"/>
        </w:rPr>
        <w:t xml:space="preserve"> above, at § 11.4, and ECtHR,</w:t>
      </w:r>
      <w:r w:rsidR="00E92DED" w:rsidRPr="00134D73">
        <w:rPr>
          <w:i/>
        </w:rPr>
        <w:t xml:space="preserve"> </w:t>
      </w:r>
      <w:proofErr w:type="spellStart"/>
      <w:r w:rsidR="00E92DED" w:rsidRPr="00134D73">
        <w:rPr>
          <w:i/>
        </w:rPr>
        <w:t>Aslakhanova</w:t>
      </w:r>
      <w:proofErr w:type="spellEnd"/>
      <w:r w:rsidR="00E92DED" w:rsidRPr="00134D73">
        <w:rPr>
          <w:i/>
        </w:rPr>
        <w:t xml:space="preserve"> and Others v. Russia</w:t>
      </w:r>
      <w:r w:rsidR="00E92DED" w:rsidRPr="00134D73">
        <w:rPr>
          <w:color w:val="000000" w:themeColor="text1"/>
          <w:lang w:val="en-GB"/>
        </w:rPr>
        <w:t>,</w:t>
      </w:r>
      <w:r w:rsidR="00E92DED" w:rsidRPr="00134D73">
        <w:t xml:space="preserve"> cited in</w:t>
      </w:r>
      <w:r w:rsidR="00E92DED" w:rsidRPr="00134D73">
        <w:rPr>
          <w:color w:val="000000" w:themeColor="text1"/>
          <w:lang w:val="en-GB"/>
        </w:rPr>
        <w:t xml:space="preserve"> § </w:t>
      </w:r>
      <w:r w:rsidR="00E92DED" w:rsidRPr="00134D73">
        <w:rPr>
          <w:color w:val="000000" w:themeColor="text1"/>
          <w:lang w:val="en-GB"/>
        </w:rPr>
        <w:fldChar w:fldCharType="begin"/>
      </w:r>
      <w:r w:rsidR="00E92DED" w:rsidRPr="00134D73">
        <w:rPr>
          <w:color w:val="000000" w:themeColor="text1"/>
          <w:lang w:val="en-GB"/>
        </w:rPr>
        <w:instrText xml:space="preserve"> REF _Ref373950745 \r \h  \* MERGEFORMAT </w:instrText>
      </w:r>
      <w:r w:rsidR="00E92DED" w:rsidRPr="00134D73">
        <w:rPr>
          <w:color w:val="000000" w:themeColor="text1"/>
          <w:lang w:val="en-GB"/>
        </w:rPr>
      </w:r>
      <w:r w:rsidR="00E92DED" w:rsidRPr="00134D73">
        <w:rPr>
          <w:color w:val="000000" w:themeColor="text1"/>
          <w:lang w:val="en-GB"/>
        </w:rPr>
        <w:fldChar w:fldCharType="separate"/>
      </w:r>
      <w:r w:rsidR="00AB2ED0" w:rsidRPr="00134D73">
        <w:rPr>
          <w:color w:val="000000" w:themeColor="text1"/>
          <w:lang w:val="en-GB"/>
        </w:rPr>
        <w:t>83</w:t>
      </w:r>
      <w:r w:rsidR="00E92DED" w:rsidRPr="00134D73">
        <w:rPr>
          <w:color w:val="000000" w:themeColor="text1"/>
          <w:lang w:val="en-GB"/>
        </w:rPr>
        <w:fldChar w:fldCharType="end"/>
      </w:r>
      <w:r w:rsidR="00E92DED" w:rsidRPr="00134D73">
        <w:rPr>
          <w:color w:val="000000" w:themeColor="text1"/>
          <w:lang w:val="en-GB"/>
        </w:rPr>
        <w:t xml:space="preserve"> above § 123; HRAP, </w:t>
      </w:r>
      <w:r w:rsidR="00E92DED" w:rsidRPr="00134D73">
        <w:rPr>
          <w:i/>
          <w:color w:val="000000" w:themeColor="text1"/>
          <w:lang w:val="en-GB"/>
        </w:rPr>
        <w:t>Bulatović</w:t>
      </w:r>
      <w:r w:rsidR="00E92DED" w:rsidRPr="00134D73">
        <w:rPr>
          <w:color w:val="000000" w:themeColor="text1"/>
          <w:lang w:val="en-GB"/>
        </w:rPr>
        <w:t xml:space="preserve">, cited in § </w:t>
      </w:r>
      <w:r w:rsidR="00E92DED" w:rsidRPr="00134D73">
        <w:rPr>
          <w:color w:val="000000" w:themeColor="text1"/>
          <w:lang w:val="en-GB"/>
        </w:rPr>
        <w:fldChar w:fldCharType="begin"/>
      </w:r>
      <w:r w:rsidR="00E92DED" w:rsidRPr="00134D73">
        <w:rPr>
          <w:color w:val="000000" w:themeColor="text1"/>
          <w:lang w:val="en-GB"/>
        </w:rPr>
        <w:instrText xml:space="preserve"> REF _Ref409786758 \r \h </w:instrText>
      </w:r>
      <w:r w:rsidR="00A4758F" w:rsidRPr="00134D73">
        <w:rPr>
          <w:color w:val="000000" w:themeColor="text1"/>
          <w:lang w:val="en-GB"/>
        </w:rPr>
        <w:instrText xml:space="preserve"> \* MERGEFORMAT </w:instrText>
      </w:r>
      <w:r w:rsidR="00E92DED" w:rsidRPr="00134D73">
        <w:rPr>
          <w:color w:val="000000" w:themeColor="text1"/>
          <w:lang w:val="en-GB"/>
        </w:rPr>
      </w:r>
      <w:r w:rsidR="00E92DED" w:rsidRPr="00134D73">
        <w:rPr>
          <w:color w:val="000000" w:themeColor="text1"/>
          <w:lang w:val="en-GB"/>
        </w:rPr>
        <w:fldChar w:fldCharType="separate"/>
      </w:r>
      <w:r w:rsidR="00AB2ED0" w:rsidRPr="00134D73">
        <w:rPr>
          <w:color w:val="000000" w:themeColor="text1"/>
          <w:lang w:val="en-GB"/>
        </w:rPr>
        <w:t>73</w:t>
      </w:r>
      <w:r w:rsidR="00E92DED" w:rsidRPr="00134D73">
        <w:rPr>
          <w:color w:val="000000" w:themeColor="text1"/>
          <w:lang w:val="en-GB"/>
        </w:rPr>
        <w:fldChar w:fldCharType="end"/>
      </w:r>
      <w:r w:rsidR="00E92DED" w:rsidRPr="00134D73">
        <w:rPr>
          <w:color w:val="000000" w:themeColor="text1"/>
          <w:lang w:val="en-GB"/>
        </w:rPr>
        <w:t xml:space="preserve"> above, at §§ 85 and 101).</w:t>
      </w:r>
    </w:p>
    <w:p w:rsidR="00E92DED" w:rsidRPr="00134D73" w:rsidRDefault="00E92DED" w:rsidP="00E92DED">
      <w:pPr>
        <w:pStyle w:val="ListParagraph"/>
        <w:rPr>
          <w:lang w:val="en-GB"/>
        </w:rPr>
      </w:pPr>
    </w:p>
    <w:p w:rsidR="00E92DED" w:rsidRPr="00134D73" w:rsidRDefault="00E92DED" w:rsidP="00E92DED">
      <w:pPr>
        <w:numPr>
          <w:ilvl w:val="0"/>
          <w:numId w:val="2"/>
        </w:numPr>
        <w:tabs>
          <w:tab w:val="clear" w:pos="360"/>
          <w:tab w:val="left" w:pos="709"/>
        </w:tabs>
        <w:suppressAutoHyphens/>
        <w:autoSpaceDE w:val="0"/>
        <w:ind w:left="450" w:hanging="450"/>
        <w:jc w:val="both"/>
        <w:rPr>
          <w:lang w:val="en-GB"/>
        </w:rPr>
      </w:pPr>
      <w:r w:rsidRPr="00134D73">
        <w:rPr>
          <w:lang w:val="en-GB"/>
        </w:rPr>
        <w:t xml:space="preserve">Therefore, the Panel concludes that UNMIK failed to carry out an </w:t>
      </w:r>
      <w:r w:rsidRPr="00134D73">
        <w:rPr>
          <w:lang w:val="en-GB" w:eastAsia="en-GB"/>
        </w:rPr>
        <w:t>effective</w:t>
      </w:r>
      <w:r w:rsidRPr="00134D73">
        <w:rPr>
          <w:lang w:val="en-GB"/>
        </w:rPr>
        <w:t xml:space="preserve"> investigation into the </w:t>
      </w:r>
      <w:r w:rsidR="001F0511" w:rsidRPr="00134D73">
        <w:rPr>
          <w:lang w:val="en-GB"/>
        </w:rPr>
        <w:t>disappearance</w:t>
      </w:r>
      <w:r w:rsidRPr="00134D73">
        <w:rPr>
          <w:lang w:val="en-GB"/>
        </w:rPr>
        <w:t xml:space="preserve"> </w:t>
      </w:r>
      <w:r w:rsidR="00A4758F" w:rsidRPr="00134D73">
        <w:rPr>
          <w:bCs/>
          <w:lang w:val="en-GB"/>
        </w:rPr>
        <w:t xml:space="preserve">of </w:t>
      </w:r>
      <w:r w:rsidR="00A4758F" w:rsidRPr="00134D73">
        <w:rPr>
          <w:lang w:val="en-GB"/>
        </w:rPr>
        <w:t xml:space="preserve">Mrs </w:t>
      </w:r>
      <w:proofErr w:type="spellStart"/>
      <w:r w:rsidR="00A4758F" w:rsidRPr="00134D73">
        <w:rPr>
          <w:lang w:val="en-GB"/>
        </w:rPr>
        <w:t>Slavka</w:t>
      </w:r>
      <w:proofErr w:type="spellEnd"/>
      <w:r w:rsidR="00A4758F" w:rsidRPr="00134D73">
        <w:rPr>
          <w:lang w:val="en-GB"/>
        </w:rPr>
        <w:t xml:space="preserve"> </w:t>
      </w:r>
      <w:proofErr w:type="spellStart"/>
      <w:r w:rsidR="00A4758F" w:rsidRPr="00134D73">
        <w:rPr>
          <w:lang w:val="en-GB"/>
        </w:rPr>
        <w:t>Pantović</w:t>
      </w:r>
      <w:proofErr w:type="spellEnd"/>
      <w:r w:rsidR="00A4758F" w:rsidRPr="00134D73">
        <w:rPr>
          <w:lang w:val="en-GB"/>
        </w:rPr>
        <w:t xml:space="preserve">, Mr </w:t>
      </w:r>
      <w:proofErr w:type="spellStart"/>
      <w:r w:rsidR="00A4758F" w:rsidRPr="00134D73">
        <w:rPr>
          <w:lang w:val="en-GB"/>
        </w:rPr>
        <w:t>Milić</w:t>
      </w:r>
      <w:proofErr w:type="spellEnd"/>
      <w:r w:rsidR="00A4758F" w:rsidRPr="00134D73">
        <w:rPr>
          <w:lang w:val="en-GB"/>
        </w:rPr>
        <w:t xml:space="preserve"> </w:t>
      </w:r>
      <w:proofErr w:type="spellStart"/>
      <w:r w:rsidR="00A4758F" w:rsidRPr="00134D73">
        <w:rPr>
          <w:lang w:val="en-GB"/>
        </w:rPr>
        <w:t>Pantović</w:t>
      </w:r>
      <w:proofErr w:type="spellEnd"/>
      <w:r w:rsidR="00A4758F" w:rsidRPr="00134D73">
        <w:rPr>
          <w:lang w:val="en-GB"/>
        </w:rPr>
        <w:t xml:space="preserve"> and Mrs </w:t>
      </w:r>
      <w:proofErr w:type="spellStart"/>
      <w:r w:rsidR="00A4758F" w:rsidRPr="00134D73">
        <w:rPr>
          <w:lang w:val="en-GB"/>
        </w:rPr>
        <w:t>Mileva</w:t>
      </w:r>
      <w:proofErr w:type="spellEnd"/>
      <w:r w:rsidR="00A4758F" w:rsidRPr="00134D73">
        <w:rPr>
          <w:lang w:val="en-GB"/>
        </w:rPr>
        <w:t xml:space="preserve"> </w:t>
      </w:r>
      <w:proofErr w:type="spellStart"/>
      <w:r w:rsidR="00A4758F" w:rsidRPr="00134D73">
        <w:rPr>
          <w:lang w:val="en-GB"/>
        </w:rPr>
        <w:t>Pantović</w:t>
      </w:r>
      <w:proofErr w:type="spellEnd"/>
      <w:r w:rsidRPr="00134D73">
        <w:t xml:space="preserve">. </w:t>
      </w:r>
      <w:r w:rsidRPr="00134D73">
        <w:rPr>
          <w:lang w:val="en-GB"/>
        </w:rPr>
        <w:t xml:space="preserve">There </w:t>
      </w:r>
      <w:r w:rsidRPr="00134D73">
        <w:rPr>
          <w:lang w:val="en-GB" w:eastAsia="en-GB"/>
        </w:rPr>
        <w:t>has</w:t>
      </w:r>
      <w:r w:rsidRPr="00134D73">
        <w:rPr>
          <w:lang w:val="en-GB"/>
        </w:rPr>
        <w:t xml:space="preserve"> accordingly been a violation of Article 2, procedural limb, of the ECHR. </w:t>
      </w:r>
    </w:p>
    <w:p w:rsidR="00711F6E" w:rsidRPr="00134D73" w:rsidRDefault="00711F6E" w:rsidP="00E92DED">
      <w:pPr>
        <w:tabs>
          <w:tab w:val="left" w:pos="709"/>
        </w:tabs>
        <w:suppressAutoHyphens/>
        <w:autoSpaceDE w:val="0"/>
        <w:ind w:left="360"/>
        <w:jc w:val="both"/>
        <w:rPr>
          <w:lang w:val="en-GB"/>
        </w:rPr>
      </w:pPr>
    </w:p>
    <w:p w:rsidR="00711F6E" w:rsidRPr="00134D73" w:rsidRDefault="00711F6E" w:rsidP="00711F6E">
      <w:pPr>
        <w:pStyle w:val="ListParagraph"/>
        <w:numPr>
          <w:ilvl w:val="0"/>
          <w:numId w:val="4"/>
        </w:numPr>
        <w:tabs>
          <w:tab w:val="left" w:pos="709"/>
        </w:tabs>
        <w:autoSpaceDE w:val="0"/>
        <w:jc w:val="both"/>
        <w:rPr>
          <w:lang w:val="en-GB"/>
        </w:rPr>
      </w:pPr>
      <w:r w:rsidRPr="00134D73">
        <w:rPr>
          <w:b/>
          <w:color w:val="000000" w:themeColor="text1"/>
          <w:lang w:val="en-GB"/>
        </w:rPr>
        <w:t>Alleged violation of Article 3 of the ECHR</w:t>
      </w:r>
    </w:p>
    <w:p w:rsidR="00711F6E" w:rsidRPr="00134D73" w:rsidRDefault="00711F6E" w:rsidP="00711F6E">
      <w:pPr>
        <w:pStyle w:val="ListParagraph"/>
        <w:rPr>
          <w:color w:val="000000" w:themeColor="text1"/>
          <w:lang w:val="en-GB"/>
        </w:rPr>
      </w:pPr>
    </w:p>
    <w:p w:rsidR="00711F6E" w:rsidRPr="00134D73" w:rsidRDefault="00711F6E" w:rsidP="00711F6E">
      <w:pPr>
        <w:numPr>
          <w:ilvl w:val="0"/>
          <w:numId w:val="2"/>
        </w:numPr>
        <w:tabs>
          <w:tab w:val="clear" w:pos="360"/>
          <w:tab w:val="left" w:pos="709"/>
        </w:tabs>
        <w:suppressAutoHyphens/>
        <w:autoSpaceDE w:val="0"/>
        <w:ind w:left="450" w:hanging="450"/>
        <w:jc w:val="both"/>
        <w:rPr>
          <w:lang w:val="en-GB"/>
        </w:rPr>
      </w:pPr>
      <w:r w:rsidRPr="00134D73">
        <w:rPr>
          <w:color w:val="000000" w:themeColor="text1"/>
          <w:lang w:val="en-GB"/>
        </w:rPr>
        <w:t xml:space="preserve">The Panel </w:t>
      </w:r>
      <w:r w:rsidRPr="00134D73">
        <w:rPr>
          <w:bCs/>
          <w:color w:val="000000" w:themeColor="text1"/>
        </w:rPr>
        <w:t>considers</w:t>
      </w:r>
      <w:r w:rsidRPr="00134D73">
        <w:rPr>
          <w:color w:val="000000" w:themeColor="text1"/>
          <w:lang w:val="en-GB"/>
        </w:rPr>
        <w:t xml:space="preserve"> that the complainant invokes, in substance, a violation of the right to be free from inhumane or degrading treatment arising out of the </w:t>
      </w:r>
      <w:r w:rsidR="001F0511" w:rsidRPr="00134D73">
        <w:rPr>
          <w:color w:val="000000" w:themeColor="text1"/>
          <w:lang w:val="en-GB"/>
        </w:rPr>
        <w:t>disappearance</w:t>
      </w:r>
      <w:r w:rsidR="00994974" w:rsidRPr="00134D73">
        <w:rPr>
          <w:color w:val="000000" w:themeColor="text1"/>
          <w:lang w:val="en-GB"/>
        </w:rPr>
        <w:t xml:space="preserve"> </w:t>
      </w:r>
      <w:r w:rsidRPr="00134D73">
        <w:rPr>
          <w:color w:val="000000" w:themeColor="text1"/>
          <w:lang w:val="en-GB"/>
        </w:rPr>
        <w:t xml:space="preserve">of </w:t>
      </w:r>
      <w:r w:rsidR="00A4758F" w:rsidRPr="00134D73">
        <w:rPr>
          <w:color w:val="000000" w:themeColor="text1"/>
          <w:lang w:val="en-GB"/>
        </w:rPr>
        <w:t>his relatives</w:t>
      </w:r>
      <w:r w:rsidRPr="00134D73">
        <w:rPr>
          <w:color w:val="000000" w:themeColor="text1"/>
          <w:lang w:val="en-GB"/>
        </w:rPr>
        <w:t xml:space="preserve">, as guaranteed by Article 3 of the ECHR. </w:t>
      </w:r>
    </w:p>
    <w:p w:rsidR="00711F6E" w:rsidRPr="00134D73" w:rsidRDefault="00711F6E" w:rsidP="00711F6E">
      <w:pPr>
        <w:tabs>
          <w:tab w:val="left" w:pos="709"/>
        </w:tabs>
        <w:suppressAutoHyphens/>
        <w:autoSpaceDE w:val="0"/>
        <w:ind w:left="450"/>
        <w:jc w:val="both"/>
        <w:rPr>
          <w:color w:val="000000" w:themeColor="text1"/>
          <w:lang w:val="en-GB"/>
        </w:rPr>
      </w:pPr>
    </w:p>
    <w:p w:rsidR="00711F6E" w:rsidRPr="00134D73" w:rsidRDefault="00711F6E" w:rsidP="00711F6E">
      <w:pPr>
        <w:pStyle w:val="ListParagraph1"/>
        <w:numPr>
          <w:ilvl w:val="0"/>
          <w:numId w:val="17"/>
        </w:numPr>
        <w:jc w:val="both"/>
        <w:rPr>
          <w:b/>
          <w:color w:val="000000" w:themeColor="text1"/>
        </w:rPr>
      </w:pPr>
      <w:r w:rsidRPr="00134D73">
        <w:rPr>
          <w:b/>
          <w:color w:val="000000" w:themeColor="text1"/>
        </w:rPr>
        <w:t xml:space="preserve">The scope of the Panel’s review </w:t>
      </w:r>
    </w:p>
    <w:p w:rsidR="00711F6E" w:rsidRPr="00134D73" w:rsidRDefault="00711F6E" w:rsidP="00AD7F08">
      <w:pPr>
        <w:tabs>
          <w:tab w:val="left" w:pos="709"/>
        </w:tabs>
        <w:suppressAutoHyphens/>
        <w:autoSpaceDE w:val="0"/>
        <w:jc w:val="both"/>
        <w:rPr>
          <w:lang w:val="en-GB"/>
        </w:rPr>
      </w:pPr>
    </w:p>
    <w:p w:rsidR="00711F6E" w:rsidRPr="00134D73" w:rsidRDefault="00711F6E" w:rsidP="00711F6E">
      <w:pPr>
        <w:numPr>
          <w:ilvl w:val="0"/>
          <w:numId w:val="2"/>
        </w:numPr>
        <w:tabs>
          <w:tab w:val="clear" w:pos="360"/>
          <w:tab w:val="left" w:pos="709"/>
        </w:tabs>
        <w:suppressAutoHyphens/>
        <w:autoSpaceDE w:val="0"/>
        <w:ind w:left="450" w:hanging="450"/>
        <w:jc w:val="both"/>
        <w:rPr>
          <w:lang w:val="en-GB"/>
        </w:rPr>
      </w:pPr>
      <w:r w:rsidRPr="00134D73">
        <w:rPr>
          <w:color w:val="000000" w:themeColor="text1"/>
          <w:lang w:val="en-GB"/>
        </w:rPr>
        <w:t xml:space="preserve">The Panel will consider </w:t>
      </w:r>
      <w:r w:rsidRPr="00134D73">
        <w:rPr>
          <w:bCs/>
          <w:color w:val="000000" w:themeColor="text1"/>
        </w:rPr>
        <w:t>the</w:t>
      </w:r>
      <w:r w:rsidRPr="00134D73">
        <w:rPr>
          <w:color w:val="000000" w:themeColor="text1"/>
          <w:lang w:val="en-GB"/>
        </w:rPr>
        <w:t xml:space="preserve"> allegations under Article 3 of the ECHR, applying the same scope of review as was set out with regard to Article 2 (see §§ </w:t>
      </w:r>
      <w:r w:rsidRPr="00134D73">
        <w:fldChar w:fldCharType="begin"/>
      </w:r>
      <w:r w:rsidRPr="00134D73">
        <w:rPr>
          <w:color w:val="000000" w:themeColor="text1"/>
          <w:lang w:val="en-GB"/>
        </w:rPr>
        <w:instrText xml:space="preserve"> REF _Ref409020267 \r \h </w:instrText>
      </w:r>
      <w:r w:rsidR="000D2756" w:rsidRPr="00134D73">
        <w:instrText xml:space="preserve"> \* MERGEFORMAT </w:instrText>
      </w:r>
      <w:r w:rsidRPr="00134D73">
        <w:fldChar w:fldCharType="separate"/>
      </w:r>
      <w:r w:rsidR="00AB2ED0" w:rsidRPr="00134D73">
        <w:rPr>
          <w:color w:val="000000" w:themeColor="text1"/>
          <w:lang w:val="en-GB"/>
        </w:rPr>
        <w:t>49</w:t>
      </w:r>
      <w:r w:rsidRPr="00134D73">
        <w:fldChar w:fldCharType="end"/>
      </w:r>
      <w:r w:rsidRPr="00134D73">
        <w:rPr>
          <w:color w:val="000000" w:themeColor="text1"/>
          <w:lang w:val="en-GB"/>
        </w:rPr>
        <w:t xml:space="preserve"> - </w:t>
      </w:r>
      <w:r w:rsidRPr="00134D73">
        <w:fldChar w:fldCharType="begin"/>
      </w:r>
      <w:r w:rsidRPr="00134D73">
        <w:rPr>
          <w:color w:val="000000" w:themeColor="text1"/>
          <w:lang w:val="en-GB"/>
        </w:rPr>
        <w:instrText xml:space="preserve"> REF _Ref409020276 \r \h </w:instrText>
      </w:r>
      <w:r w:rsidR="000D2756" w:rsidRPr="00134D73">
        <w:instrText xml:space="preserve"> \* MERGEFORMAT </w:instrText>
      </w:r>
      <w:r w:rsidRPr="00134D73">
        <w:fldChar w:fldCharType="separate"/>
      </w:r>
      <w:r w:rsidR="00AB2ED0" w:rsidRPr="00134D73">
        <w:rPr>
          <w:color w:val="000000" w:themeColor="text1"/>
          <w:lang w:val="en-GB"/>
        </w:rPr>
        <w:t>53</w:t>
      </w:r>
      <w:r w:rsidRPr="00134D73">
        <w:fldChar w:fldCharType="end"/>
      </w:r>
      <w:r w:rsidRPr="00134D73">
        <w:rPr>
          <w:color w:val="000000" w:themeColor="text1"/>
          <w:lang w:val="en-GB"/>
        </w:rPr>
        <w:t xml:space="preserve"> above).</w:t>
      </w:r>
      <w:bookmarkStart w:id="101" w:name="_Ref374623030"/>
    </w:p>
    <w:p w:rsidR="00711F6E" w:rsidRPr="00134D73" w:rsidRDefault="00711F6E" w:rsidP="00711F6E">
      <w:pPr>
        <w:tabs>
          <w:tab w:val="left" w:pos="709"/>
        </w:tabs>
        <w:suppressAutoHyphens/>
        <w:autoSpaceDE w:val="0"/>
        <w:ind w:left="450"/>
        <w:jc w:val="both"/>
        <w:rPr>
          <w:lang w:val="en-GB"/>
        </w:rPr>
      </w:pPr>
    </w:p>
    <w:p w:rsidR="00711F6E" w:rsidRPr="00134D73" w:rsidRDefault="00711F6E" w:rsidP="00711F6E">
      <w:pPr>
        <w:numPr>
          <w:ilvl w:val="0"/>
          <w:numId w:val="2"/>
        </w:numPr>
        <w:tabs>
          <w:tab w:val="clear" w:pos="360"/>
          <w:tab w:val="left" w:pos="709"/>
        </w:tabs>
        <w:suppressAutoHyphens/>
        <w:autoSpaceDE w:val="0"/>
        <w:ind w:left="450" w:hanging="450"/>
        <w:jc w:val="both"/>
        <w:rPr>
          <w:lang w:val="en-GB"/>
        </w:rPr>
      </w:pPr>
      <w:r w:rsidRPr="00134D73">
        <w:rPr>
          <w:color w:val="000000" w:themeColor="text1"/>
          <w:lang w:val="en-GB"/>
        </w:rPr>
        <w:lastRenderedPageBreak/>
        <w:t xml:space="preserve">The Panel recalls that the European Court of Human Rights has found on many occasions that a situation of </w:t>
      </w:r>
      <w:r w:rsidRPr="00134D73">
        <w:rPr>
          <w:bCs/>
          <w:color w:val="000000" w:themeColor="text1"/>
        </w:rPr>
        <w:t>enforced</w:t>
      </w:r>
      <w:r w:rsidRPr="00134D73">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134D73">
        <w:rPr>
          <w:i/>
          <w:color w:val="000000" w:themeColor="text1"/>
          <w:lang w:val="en-GB"/>
        </w:rPr>
        <w:t>Çakici v. Turkey</w:t>
      </w:r>
      <w:r w:rsidRPr="00134D73">
        <w:rPr>
          <w:color w:val="000000" w:themeColor="text1"/>
          <w:lang w:val="en-GB"/>
        </w:rPr>
        <w:t xml:space="preserve">, no. 23657/94, judgment of 8 July 1999, § 98, </w:t>
      </w:r>
      <w:r w:rsidRPr="00134D73">
        <w:rPr>
          <w:i/>
          <w:color w:val="000000" w:themeColor="text1"/>
          <w:lang w:val="en-GB"/>
        </w:rPr>
        <w:t>ECHR</w:t>
      </w:r>
      <w:r w:rsidRPr="00134D73">
        <w:rPr>
          <w:color w:val="000000" w:themeColor="text1"/>
          <w:lang w:val="en-GB"/>
        </w:rPr>
        <w:t xml:space="preserve">, 1999-IV; ECtHR [GC], </w:t>
      </w:r>
      <w:r w:rsidRPr="00134D73">
        <w:rPr>
          <w:i/>
          <w:color w:val="000000" w:themeColor="text1"/>
          <w:lang w:val="en-GB"/>
        </w:rPr>
        <w:t>Cyprus v. Turkey</w:t>
      </w:r>
      <w:r w:rsidRPr="00134D73">
        <w:rPr>
          <w:color w:val="000000" w:themeColor="text1"/>
          <w:lang w:val="en-GB"/>
        </w:rPr>
        <w:t>, no. 25781/94, judgment of 10 May 2001, § 156,</w:t>
      </w:r>
      <w:r w:rsidRPr="00134D73">
        <w:rPr>
          <w:i/>
          <w:color w:val="000000" w:themeColor="text1"/>
          <w:lang w:val="en-GB"/>
        </w:rPr>
        <w:t xml:space="preserve"> ECHR</w:t>
      </w:r>
      <w:r w:rsidRPr="00134D73">
        <w:rPr>
          <w:color w:val="000000" w:themeColor="text1"/>
          <w:lang w:val="en-GB"/>
        </w:rPr>
        <w:t xml:space="preserve">, 2001-IV; ECtHR, </w:t>
      </w:r>
      <w:r w:rsidRPr="00134D73">
        <w:rPr>
          <w:i/>
          <w:color w:val="000000" w:themeColor="text1"/>
          <w:lang w:val="en-GB"/>
        </w:rPr>
        <w:t>Orhan v. Turkey</w:t>
      </w:r>
      <w:r w:rsidRPr="00134D73">
        <w:rPr>
          <w:color w:val="000000" w:themeColor="text1"/>
          <w:lang w:val="en-GB"/>
        </w:rPr>
        <w:t xml:space="preserve">, no. 25656/94, judgment of 18 June 2002, § 358; ECtHR, </w:t>
      </w:r>
      <w:r w:rsidRPr="00134D73">
        <w:rPr>
          <w:i/>
          <w:color w:val="000000" w:themeColor="text1"/>
          <w:lang w:val="en-GB"/>
        </w:rPr>
        <w:t>Bazorkina v. Russia</w:t>
      </w:r>
      <w:r w:rsidRPr="00134D73">
        <w:rPr>
          <w:color w:val="000000" w:themeColor="text1"/>
          <w:lang w:val="en-GB"/>
        </w:rPr>
        <w:t xml:space="preserve">, cited in § </w:t>
      </w:r>
      <w:r w:rsidR="00FC30AF" w:rsidRPr="00134D73">
        <w:fldChar w:fldCharType="begin"/>
      </w:r>
      <w:r w:rsidR="00FC30AF" w:rsidRPr="00134D73">
        <w:rPr>
          <w:color w:val="000000" w:themeColor="text1"/>
          <w:lang w:val="en-GB"/>
        </w:rPr>
        <w:instrText xml:space="preserve"> REF _Ref366241459 \r \h </w:instrText>
      </w:r>
      <w:r w:rsidR="000D2756" w:rsidRPr="00134D73">
        <w:instrText xml:space="preserve"> \* MERGEFORMAT </w:instrText>
      </w:r>
      <w:r w:rsidR="00FC30AF" w:rsidRPr="00134D73">
        <w:fldChar w:fldCharType="separate"/>
      </w:r>
      <w:r w:rsidR="00AB2ED0" w:rsidRPr="00134D73">
        <w:rPr>
          <w:color w:val="000000" w:themeColor="text1"/>
          <w:lang w:val="en-GB"/>
        </w:rPr>
        <w:t>91</w:t>
      </w:r>
      <w:r w:rsidR="00FC30AF" w:rsidRPr="00134D73">
        <w:fldChar w:fldCharType="end"/>
      </w:r>
      <w:r w:rsidR="00FC30AF" w:rsidRPr="00134D73">
        <w:t xml:space="preserve"> </w:t>
      </w:r>
      <w:r w:rsidRPr="00134D73">
        <w:rPr>
          <w:color w:val="000000" w:themeColor="text1"/>
          <w:lang w:val="en-GB"/>
        </w:rPr>
        <w:t xml:space="preserve">above, at § 139; ECtHR, </w:t>
      </w:r>
      <w:r w:rsidRPr="00134D73">
        <w:rPr>
          <w:i/>
          <w:color w:val="000000" w:themeColor="text1"/>
          <w:lang w:val="en-GB"/>
        </w:rPr>
        <w:t>Palić v. Bosnia and Herzegovina,</w:t>
      </w:r>
      <w:r w:rsidRPr="00134D73">
        <w:rPr>
          <w:color w:val="000000" w:themeColor="text1"/>
          <w:lang w:val="en-GB"/>
        </w:rPr>
        <w:t xml:space="preserve"> cited in § </w:t>
      </w:r>
      <w:r w:rsidR="00FC30AF" w:rsidRPr="00134D73">
        <w:fldChar w:fldCharType="begin"/>
      </w:r>
      <w:r w:rsidR="00FC30AF" w:rsidRPr="00134D73">
        <w:rPr>
          <w:color w:val="000000" w:themeColor="text1"/>
          <w:lang w:val="en-GB"/>
        </w:rPr>
        <w:instrText xml:space="preserve"> REF _Ref366239979 \r \h </w:instrText>
      </w:r>
      <w:r w:rsidR="000D2756" w:rsidRPr="00134D73">
        <w:instrText xml:space="preserve"> \* MERGEFORMAT </w:instrText>
      </w:r>
      <w:r w:rsidR="00FC30AF" w:rsidRPr="00134D73">
        <w:fldChar w:fldCharType="separate"/>
      </w:r>
      <w:r w:rsidR="00AB2ED0" w:rsidRPr="00134D73">
        <w:rPr>
          <w:color w:val="000000" w:themeColor="text1"/>
          <w:lang w:val="en-GB"/>
        </w:rPr>
        <w:t>80</w:t>
      </w:r>
      <w:r w:rsidR="00FC30AF" w:rsidRPr="00134D73">
        <w:fldChar w:fldCharType="end"/>
      </w:r>
      <w:r w:rsidRPr="00134D73">
        <w:rPr>
          <w:color w:val="000000" w:themeColor="text1"/>
          <w:lang w:val="en-GB"/>
        </w:rPr>
        <w:t xml:space="preserve"> above, at § 74; ECtHR, </w:t>
      </w:r>
      <w:r w:rsidRPr="00134D73">
        <w:rPr>
          <w:i/>
          <w:color w:val="000000" w:themeColor="text1"/>
          <w:lang w:val="en-GB"/>
        </w:rPr>
        <w:t>Alpatu Israilova v. Russia</w:t>
      </w:r>
      <w:r w:rsidRPr="00134D73">
        <w:rPr>
          <w:color w:val="000000" w:themeColor="text1"/>
          <w:lang w:val="en-GB"/>
        </w:rPr>
        <w:t xml:space="preserve">, no. 15438/05, judgment of 14 March 2013, § 69; see also HRAP, </w:t>
      </w:r>
      <w:r w:rsidRPr="00134D73">
        <w:rPr>
          <w:i/>
          <w:color w:val="000000" w:themeColor="text1"/>
          <w:lang w:val="en-GB"/>
        </w:rPr>
        <w:t>Zdravković</w:t>
      </w:r>
      <w:r w:rsidRPr="00134D73">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134D73">
        <w:rPr>
          <w:i/>
          <w:color w:val="000000" w:themeColor="text1"/>
          <w:lang w:val="en-GB"/>
        </w:rPr>
        <w:t>Er and Others v. Turkey</w:t>
      </w:r>
      <w:r w:rsidRPr="00134D73">
        <w:rPr>
          <w:color w:val="000000" w:themeColor="text1"/>
          <w:lang w:val="en-GB"/>
        </w:rPr>
        <w:t>, no. 23016/04, judgment of 31 July 2012, § 94).</w:t>
      </w:r>
      <w:bookmarkStart w:id="102" w:name="_Ref374623316"/>
      <w:bookmarkEnd w:id="101"/>
    </w:p>
    <w:p w:rsidR="00711F6E" w:rsidRPr="00134D73" w:rsidRDefault="00711F6E" w:rsidP="00711F6E">
      <w:pPr>
        <w:tabs>
          <w:tab w:val="left" w:pos="709"/>
        </w:tabs>
        <w:suppressAutoHyphens/>
        <w:autoSpaceDE w:val="0"/>
        <w:ind w:left="450"/>
        <w:jc w:val="both"/>
        <w:rPr>
          <w:lang w:val="en-GB"/>
        </w:rPr>
      </w:pPr>
    </w:p>
    <w:p w:rsidR="00711F6E" w:rsidRPr="00134D73" w:rsidRDefault="00711F6E" w:rsidP="00711F6E">
      <w:pPr>
        <w:numPr>
          <w:ilvl w:val="0"/>
          <w:numId w:val="2"/>
        </w:numPr>
        <w:tabs>
          <w:tab w:val="clear" w:pos="360"/>
          <w:tab w:val="left" w:pos="709"/>
        </w:tabs>
        <w:suppressAutoHyphens/>
        <w:autoSpaceDE w:val="0"/>
        <w:ind w:left="450" w:hanging="450"/>
        <w:jc w:val="both"/>
        <w:rPr>
          <w:lang w:val="en-GB"/>
        </w:rPr>
      </w:pPr>
      <w:r w:rsidRPr="00134D73">
        <w:rPr>
          <w:color w:val="000000" w:themeColor="text1"/>
          <w:lang w:val="en-GB"/>
        </w:rPr>
        <w:t xml:space="preserve">Lastly, where  </w:t>
      </w:r>
      <w:r w:rsidRPr="00134D73">
        <w:rPr>
          <w:bCs/>
          <w:color w:val="000000" w:themeColor="text1"/>
        </w:rPr>
        <w:t>mental</w:t>
      </w:r>
      <w:r w:rsidRPr="00134D73">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134D73">
        <w:rPr>
          <w:i/>
          <w:color w:val="000000" w:themeColor="text1"/>
          <w:lang w:val="en-GB"/>
        </w:rPr>
        <w:t>Gelayevy v. Russia</w:t>
      </w:r>
      <w:r w:rsidRPr="00134D73">
        <w:rPr>
          <w:color w:val="000000" w:themeColor="text1"/>
          <w:lang w:val="en-GB"/>
        </w:rPr>
        <w:t>, no. 20216/07, judgment of 15 July 2010, §§ 147 - 148).</w:t>
      </w:r>
      <w:bookmarkEnd w:id="102"/>
    </w:p>
    <w:p w:rsidR="00711F6E" w:rsidRPr="00134D73" w:rsidRDefault="00711F6E" w:rsidP="00711F6E">
      <w:pPr>
        <w:pStyle w:val="ListParagraph1"/>
        <w:ind w:left="0"/>
        <w:jc w:val="both"/>
        <w:rPr>
          <w:b/>
          <w:color w:val="000000" w:themeColor="text1"/>
        </w:rPr>
      </w:pPr>
    </w:p>
    <w:p w:rsidR="00711F6E" w:rsidRPr="00134D73" w:rsidRDefault="00711F6E" w:rsidP="00711F6E">
      <w:pPr>
        <w:pStyle w:val="ListParagraph1"/>
        <w:numPr>
          <w:ilvl w:val="0"/>
          <w:numId w:val="17"/>
        </w:numPr>
        <w:jc w:val="both"/>
        <w:rPr>
          <w:b/>
          <w:color w:val="000000" w:themeColor="text1"/>
        </w:rPr>
      </w:pPr>
      <w:r w:rsidRPr="00134D73">
        <w:rPr>
          <w:b/>
          <w:color w:val="000000" w:themeColor="text1"/>
        </w:rPr>
        <w:t xml:space="preserve">The Parties’ submissions </w:t>
      </w:r>
    </w:p>
    <w:p w:rsidR="00711F6E" w:rsidRPr="00134D73" w:rsidRDefault="00711F6E" w:rsidP="00711F6E">
      <w:pPr>
        <w:suppressAutoHyphens/>
        <w:autoSpaceDE w:val="0"/>
        <w:ind w:left="360"/>
        <w:jc w:val="both"/>
        <w:rPr>
          <w:color w:val="000000" w:themeColor="text1"/>
          <w:lang w:val="en-GB"/>
        </w:rPr>
      </w:pPr>
    </w:p>
    <w:p w:rsidR="00711F6E" w:rsidRPr="00134D73"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134D73">
        <w:rPr>
          <w:color w:val="000000" w:themeColor="text1"/>
          <w:lang w:val="en-GB"/>
        </w:rPr>
        <w:t xml:space="preserve">The complainant </w:t>
      </w:r>
      <w:r w:rsidR="000477EB" w:rsidRPr="00134D73">
        <w:rPr>
          <w:color w:val="000000" w:themeColor="text1"/>
          <w:lang w:val="en-GB"/>
        </w:rPr>
        <w:t xml:space="preserve">in essence complains </w:t>
      </w:r>
      <w:r w:rsidRPr="00134D73">
        <w:rPr>
          <w:color w:val="000000" w:themeColor="text1"/>
          <w:lang w:val="en-GB"/>
        </w:rPr>
        <w:t xml:space="preserve">that the lack of information and certainty surrounding </w:t>
      </w:r>
      <w:r w:rsidRPr="00134D73">
        <w:rPr>
          <w:bCs/>
          <w:color w:val="000000" w:themeColor="text1"/>
          <w:lang w:val="en-GB"/>
        </w:rPr>
        <w:t>the</w:t>
      </w:r>
      <w:r w:rsidRPr="00134D73">
        <w:rPr>
          <w:color w:val="000000" w:themeColor="text1"/>
          <w:lang w:val="en-GB"/>
        </w:rPr>
        <w:t xml:space="preserve"> </w:t>
      </w:r>
      <w:r w:rsidR="001F0511" w:rsidRPr="00134D73">
        <w:rPr>
          <w:lang w:val="en-GB"/>
        </w:rPr>
        <w:t>disappearance</w:t>
      </w:r>
      <w:r w:rsidR="00AD7F08" w:rsidRPr="00134D73">
        <w:rPr>
          <w:lang w:val="en-GB"/>
        </w:rPr>
        <w:t xml:space="preserve"> </w:t>
      </w:r>
      <w:r w:rsidR="00D250D1" w:rsidRPr="00134D73">
        <w:rPr>
          <w:lang w:val="en-GB"/>
        </w:rPr>
        <w:t xml:space="preserve">of </w:t>
      </w:r>
      <w:r w:rsidR="00A4758F" w:rsidRPr="00134D73">
        <w:rPr>
          <w:lang w:val="en-GB"/>
        </w:rPr>
        <w:t xml:space="preserve">Mrs </w:t>
      </w:r>
      <w:proofErr w:type="spellStart"/>
      <w:r w:rsidR="00A4758F" w:rsidRPr="00134D73">
        <w:rPr>
          <w:lang w:val="en-GB"/>
        </w:rPr>
        <w:t>Slavka</w:t>
      </w:r>
      <w:proofErr w:type="spellEnd"/>
      <w:r w:rsidR="00A4758F" w:rsidRPr="00134D73">
        <w:rPr>
          <w:lang w:val="en-GB"/>
        </w:rPr>
        <w:t xml:space="preserve"> </w:t>
      </w:r>
      <w:proofErr w:type="spellStart"/>
      <w:r w:rsidR="00A4758F" w:rsidRPr="00134D73">
        <w:rPr>
          <w:lang w:val="en-GB"/>
        </w:rPr>
        <w:t>Pantović</w:t>
      </w:r>
      <w:proofErr w:type="spellEnd"/>
      <w:r w:rsidR="00A4758F" w:rsidRPr="00134D73">
        <w:rPr>
          <w:lang w:val="en-GB"/>
        </w:rPr>
        <w:t xml:space="preserve">, Mr </w:t>
      </w:r>
      <w:proofErr w:type="spellStart"/>
      <w:r w:rsidR="00A4758F" w:rsidRPr="00134D73">
        <w:rPr>
          <w:lang w:val="en-GB"/>
        </w:rPr>
        <w:t>Milić</w:t>
      </w:r>
      <w:proofErr w:type="spellEnd"/>
      <w:r w:rsidR="00A4758F" w:rsidRPr="00134D73">
        <w:rPr>
          <w:lang w:val="en-GB"/>
        </w:rPr>
        <w:t xml:space="preserve"> </w:t>
      </w:r>
      <w:proofErr w:type="spellStart"/>
      <w:r w:rsidR="00A4758F" w:rsidRPr="00134D73">
        <w:rPr>
          <w:lang w:val="en-GB"/>
        </w:rPr>
        <w:t>Pantović</w:t>
      </w:r>
      <w:proofErr w:type="spellEnd"/>
      <w:r w:rsidR="00A4758F" w:rsidRPr="00134D73">
        <w:rPr>
          <w:lang w:val="en-GB"/>
        </w:rPr>
        <w:t xml:space="preserve"> and Mrs </w:t>
      </w:r>
      <w:proofErr w:type="spellStart"/>
      <w:r w:rsidR="00A4758F" w:rsidRPr="00134D73">
        <w:rPr>
          <w:lang w:val="en-GB"/>
        </w:rPr>
        <w:t>Mileva</w:t>
      </w:r>
      <w:proofErr w:type="spellEnd"/>
      <w:r w:rsidR="00A4758F" w:rsidRPr="00134D73">
        <w:rPr>
          <w:lang w:val="en-GB"/>
        </w:rPr>
        <w:t xml:space="preserve"> </w:t>
      </w:r>
      <w:proofErr w:type="spellStart"/>
      <w:r w:rsidR="00A4758F" w:rsidRPr="00134D73">
        <w:rPr>
          <w:lang w:val="en-GB"/>
        </w:rPr>
        <w:t>Pantović</w:t>
      </w:r>
      <w:proofErr w:type="spellEnd"/>
      <w:r w:rsidRPr="00134D73">
        <w:rPr>
          <w:color w:val="000000" w:themeColor="text1"/>
        </w:rPr>
        <w:t>,</w:t>
      </w:r>
      <w:r w:rsidRPr="00134D73">
        <w:rPr>
          <w:color w:val="000000" w:themeColor="text1"/>
          <w:lang w:val="en-GB"/>
        </w:rPr>
        <w:t xml:space="preserve"> particularly because of UNMIK’s failure to properly investigate his disappearance</w:t>
      </w:r>
      <w:r w:rsidR="00A4758F" w:rsidRPr="00134D73">
        <w:rPr>
          <w:color w:val="000000" w:themeColor="text1"/>
          <w:lang w:val="en-GB"/>
        </w:rPr>
        <w:t>, caused mental suffering to him</w:t>
      </w:r>
      <w:r w:rsidRPr="00134D73">
        <w:rPr>
          <w:color w:val="000000" w:themeColor="text1"/>
          <w:lang w:val="en-GB"/>
        </w:rPr>
        <w:t xml:space="preserve"> and </w:t>
      </w:r>
      <w:r w:rsidR="00A4758F" w:rsidRPr="00134D73">
        <w:rPr>
          <w:color w:val="000000" w:themeColor="text1"/>
          <w:lang w:val="en-GB"/>
        </w:rPr>
        <w:t xml:space="preserve">his </w:t>
      </w:r>
      <w:r w:rsidRPr="00134D73">
        <w:rPr>
          <w:color w:val="000000" w:themeColor="text1"/>
          <w:lang w:val="en-GB"/>
        </w:rPr>
        <w:t>family.</w:t>
      </w:r>
    </w:p>
    <w:p w:rsidR="00711F6E" w:rsidRPr="00134D73" w:rsidRDefault="00711F6E" w:rsidP="00711F6E">
      <w:pPr>
        <w:pStyle w:val="ListParagraph"/>
        <w:tabs>
          <w:tab w:val="num" w:pos="450"/>
        </w:tabs>
        <w:autoSpaceDE w:val="0"/>
        <w:ind w:left="450" w:hanging="450"/>
        <w:jc w:val="both"/>
        <w:rPr>
          <w:color w:val="000000" w:themeColor="text1"/>
          <w:lang w:val="en-GB"/>
        </w:rPr>
      </w:pPr>
    </w:p>
    <w:p w:rsidR="00711F6E" w:rsidRPr="00134D73" w:rsidRDefault="00711F6E" w:rsidP="00711F6E">
      <w:pPr>
        <w:pStyle w:val="ListParagraph"/>
        <w:numPr>
          <w:ilvl w:val="0"/>
          <w:numId w:val="2"/>
        </w:numPr>
        <w:tabs>
          <w:tab w:val="clear" w:pos="360"/>
          <w:tab w:val="num" w:pos="450"/>
        </w:tabs>
        <w:autoSpaceDE w:val="0"/>
        <w:ind w:left="450" w:hanging="450"/>
        <w:jc w:val="both"/>
        <w:rPr>
          <w:lang w:val="en-GB"/>
        </w:rPr>
      </w:pPr>
      <w:bookmarkStart w:id="103" w:name="_Ref374625321"/>
      <w:r w:rsidRPr="00134D73">
        <w:rPr>
          <w:color w:val="000000" w:themeColor="text1"/>
          <w:lang w:val="en-GB"/>
        </w:rPr>
        <w:t xml:space="preserve">Commenting on this part of the complaint, the SRSG rejects the allegations. </w:t>
      </w:r>
      <w:r w:rsidRPr="00134D73">
        <w:rPr>
          <w:lang w:val="en-GB"/>
        </w:rPr>
        <w:t>The SRSG further argues that no allegations have been made by the complainant “of any bad faith on the part of the UNMIK staff involved with the matter, nor of any action by UNMIK that would have evidenced any disregard for the seriousness of the</w:t>
      </w:r>
      <w:r w:rsidR="009A6E2B" w:rsidRPr="00134D73">
        <w:rPr>
          <w:lang w:val="en-GB"/>
        </w:rPr>
        <w:t xml:space="preserve"> matter or the emotions of the C</w:t>
      </w:r>
      <w:r w:rsidRPr="00134D73">
        <w:rPr>
          <w:lang w:val="en-GB"/>
        </w:rPr>
        <w:t xml:space="preserve">omplainant in relation </w:t>
      </w:r>
      <w:r w:rsidR="00A4758F" w:rsidRPr="00134D73">
        <w:rPr>
          <w:lang w:val="en-GB"/>
        </w:rPr>
        <w:t xml:space="preserve">to </w:t>
      </w:r>
      <w:r w:rsidRPr="00134D73">
        <w:rPr>
          <w:lang w:val="en-GB"/>
        </w:rPr>
        <w:t>the disappearance of</w:t>
      </w:r>
      <w:r w:rsidR="00AD7F08" w:rsidRPr="00134D73">
        <w:rPr>
          <w:b/>
          <w:lang w:val="en-GB"/>
        </w:rPr>
        <w:t xml:space="preserve"> </w:t>
      </w:r>
      <w:r w:rsidR="00A4758F" w:rsidRPr="00134D73">
        <w:t>his relatives</w:t>
      </w:r>
      <w:r w:rsidRPr="00134D73">
        <w:rPr>
          <w:lang w:val="en-GB"/>
        </w:rPr>
        <w:t>.” The SRSG also states that there is no evidence that, when r</w:t>
      </w:r>
      <w:r w:rsidR="00A4758F" w:rsidRPr="00134D73">
        <w:rPr>
          <w:lang w:val="en-GB"/>
        </w:rPr>
        <w:t>esponding to the complainant’s i</w:t>
      </w:r>
      <w:r w:rsidRPr="00134D73">
        <w:rPr>
          <w:lang w:val="en-GB"/>
        </w:rPr>
        <w:t>nquiries, UNMIK acted “in a manner which may amount to a violation of Article 3</w:t>
      </w:r>
      <w:r w:rsidR="00E92DED" w:rsidRPr="00134D73">
        <w:rPr>
          <w:lang w:val="en-GB"/>
        </w:rPr>
        <w:t xml:space="preserve"> ECHR</w:t>
      </w:r>
      <w:r w:rsidRPr="00134D73">
        <w:rPr>
          <w:lang w:val="en-GB"/>
        </w:rPr>
        <w:t xml:space="preserve">”. </w:t>
      </w:r>
    </w:p>
    <w:p w:rsidR="00711F6E" w:rsidRPr="00134D73" w:rsidRDefault="00711F6E" w:rsidP="00711F6E">
      <w:pPr>
        <w:pStyle w:val="ListParagraph"/>
        <w:rPr>
          <w:lang w:val="en-GB"/>
        </w:rPr>
      </w:pPr>
    </w:p>
    <w:p w:rsidR="00711F6E" w:rsidRPr="00134D73" w:rsidRDefault="00711F6E" w:rsidP="00711F6E">
      <w:pPr>
        <w:pStyle w:val="ListParagraph"/>
        <w:numPr>
          <w:ilvl w:val="0"/>
          <w:numId w:val="2"/>
        </w:numPr>
        <w:tabs>
          <w:tab w:val="clear" w:pos="360"/>
          <w:tab w:val="num" w:pos="450"/>
        </w:tabs>
        <w:autoSpaceDE w:val="0"/>
        <w:ind w:left="450" w:hanging="450"/>
        <w:jc w:val="both"/>
        <w:rPr>
          <w:lang w:val="en-GB"/>
        </w:rPr>
      </w:pPr>
      <w:r w:rsidRPr="00134D73">
        <w:rPr>
          <w:lang w:val="en-GB"/>
        </w:rPr>
        <w:t xml:space="preserve">The SRSG does not dispute the mental anguish and suffering of the complainant; however he argues that this is not attributable to UNMIK as it is rather “a result of the inherent suffering </w:t>
      </w:r>
      <w:r w:rsidR="00E92DED" w:rsidRPr="00134D73">
        <w:rPr>
          <w:lang w:val="en-GB"/>
        </w:rPr>
        <w:t>caused by the disappearance of</w:t>
      </w:r>
      <w:r w:rsidR="009A6E2B" w:rsidRPr="00134D73">
        <w:rPr>
          <w:lang w:val="en-GB"/>
        </w:rPr>
        <w:t xml:space="preserve"> a</w:t>
      </w:r>
      <w:r w:rsidRPr="00134D73">
        <w:rPr>
          <w:lang w:val="en-GB"/>
        </w:rPr>
        <w:t xml:space="preserve"> close family member.” He states that, in this sense, the European Court has held that the suffering family members must have a “character distinct” from the emotional distress which may be regarded as inevitably caused to the relatives of a victim of a serious human rights violation. </w:t>
      </w:r>
    </w:p>
    <w:p w:rsidR="00711F6E" w:rsidRPr="00134D73" w:rsidRDefault="00711F6E" w:rsidP="00711F6E">
      <w:pPr>
        <w:pStyle w:val="ListParagraph"/>
        <w:tabs>
          <w:tab w:val="left" w:pos="3885"/>
        </w:tabs>
        <w:autoSpaceDE w:val="0"/>
        <w:ind w:left="450"/>
        <w:jc w:val="both"/>
        <w:rPr>
          <w:lang w:val="en-GB"/>
        </w:rPr>
      </w:pPr>
      <w:r w:rsidRPr="00134D73">
        <w:rPr>
          <w:lang w:val="en-GB"/>
        </w:rPr>
        <w:t xml:space="preserve"> </w:t>
      </w:r>
      <w:r w:rsidRPr="00134D73">
        <w:rPr>
          <w:lang w:val="en-GB"/>
        </w:rPr>
        <w:tab/>
      </w:r>
    </w:p>
    <w:p w:rsidR="00711F6E" w:rsidRPr="00134D73" w:rsidRDefault="00711F6E" w:rsidP="00711F6E">
      <w:pPr>
        <w:pStyle w:val="ListParagraph"/>
        <w:numPr>
          <w:ilvl w:val="0"/>
          <w:numId w:val="2"/>
        </w:numPr>
        <w:tabs>
          <w:tab w:val="clear" w:pos="360"/>
          <w:tab w:val="num" w:pos="450"/>
        </w:tabs>
        <w:autoSpaceDE w:val="0"/>
        <w:ind w:left="450" w:hanging="450"/>
        <w:jc w:val="both"/>
        <w:rPr>
          <w:lang w:val="en-GB"/>
        </w:rPr>
      </w:pPr>
      <w:r w:rsidRPr="00134D73">
        <w:rPr>
          <w:lang w:val="en-GB"/>
        </w:rPr>
        <w:t xml:space="preserve">The SRSG therefore argues that there has been no violation of Article 3. </w:t>
      </w:r>
    </w:p>
    <w:bookmarkEnd w:id="103"/>
    <w:p w:rsidR="00711F6E" w:rsidRPr="00134D73" w:rsidRDefault="00711F6E" w:rsidP="00711F6E">
      <w:pPr>
        <w:pStyle w:val="ListParagraph1"/>
        <w:ind w:left="0"/>
        <w:jc w:val="both"/>
        <w:rPr>
          <w:b/>
          <w:color w:val="000000" w:themeColor="text1"/>
        </w:rPr>
      </w:pPr>
    </w:p>
    <w:p w:rsidR="00711F6E" w:rsidRPr="00134D73" w:rsidRDefault="00711F6E" w:rsidP="00711F6E">
      <w:pPr>
        <w:pStyle w:val="ListParagraph1"/>
        <w:numPr>
          <w:ilvl w:val="0"/>
          <w:numId w:val="17"/>
        </w:numPr>
        <w:jc w:val="both"/>
        <w:rPr>
          <w:b/>
          <w:color w:val="000000" w:themeColor="text1"/>
        </w:rPr>
      </w:pPr>
      <w:r w:rsidRPr="00134D73">
        <w:rPr>
          <w:b/>
          <w:color w:val="000000" w:themeColor="text1"/>
        </w:rPr>
        <w:t xml:space="preserve">The Panel’s assessment </w:t>
      </w:r>
    </w:p>
    <w:p w:rsidR="00711F6E" w:rsidRPr="00134D73" w:rsidRDefault="00711F6E" w:rsidP="00711F6E">
      <w:pPr>
        <w:pStyle w:val="ListParagraph1"/>
        <w:ind w:left="0"/>
        <w:jc w:val="both"/>
        <w:rPr>
          <w:b/>
          <w:color w:val="000000" w:themeColor="text1"/>
        </w:rPr>
      </w:pPr>
    </w:p>
    <w:p w:rsidR="00711F6E" w:rsidRPr="00134D73" w:rsidRDefault="00711F6E" w:rsidP="00711F6E">
      <w:pPr>
        <w:pStyle w:val="ListParagraph1"/>
        <w:numPr>
          <w:ilvl w:val="0"/>
          <w:numId w:val="16"/>
        </w:numPr>
        <w:ind w:left="360"/>
        <w:jc w:val="both"/>
        <w:rPr>
          <w:b/>
          <w:color w:val="000000" w:themeColor="text1"/>
        </w:rPr>
      </w:pPr>
      <w:r w:rsidRPr="00134D73">
        <w:rPr>
          <w:i/>
          <w:color w:val="000000" w:themeColor="text1"/>
          <w:lang w:eastAsia="en-US"/>
        </w:rPr>
        <w:lastRenderedPageBreak/>
        <w:t xml:space="preserve"> General principles concerning the obligation under Article 3</w:t>
      </w:r>
    </w:p>
    <w:p w:rsidR="00711F6E" w:rsidRPr="00134D73" w:rsidRDefault="00711F6E" w:rsidP="00711F6E">
      <w:pPr>
        <w:autoSpaceDE w:val="0"/>
        <w:jc w:val="both"/>
        <w:rPr>
          <w:color w:val="000000" w:themeColor="text1"/>
          <w:lang w:val="en-GB" w:eastAsia="ar-SA"/>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04" w:name="_Ref401074681"/>
      <w:r w:rsidRPr="00134D73">
        <w:rPr>
          <w:color w:val="000000" w:themeColor="text1"/>
          <w:lang w:val="en-GB"/>
        </w:rPr>
        <w:t xml:space="preserve">Like Article 2, Article 3 of the ECHR enshrines one of the most fundamental values in democratic societies (ECtHR, </w:t>
      </w:r>
      <w:r w:rsidRPr="00134D73">
        <w:rPr>
          <w:i/>
          <w:color w:val="000000" w:themeColor="text1"/>
          <w:lang w:val="en-GB"/>
        </w:rPr>
        <w:t>Talat Tepe v. Turkey</w:t>
      </w:r>
      <w:r w:rsidRPr="00134D73">
        <w:rPr>
          <w:color w:val="000000" w:themeColor="text1"/>
          <w:lang w:val="en-GB"/>
        </w:rPr>
        <w:t xml:space="preserve">, no. 31247/96, 21 December 2004, § 47; ECtHR [GC], </w:t>
      </w:r>
      <w:r w:rsidRPr="00134D73">
        <w:rPr>
          <w:i/>
          <w:color w:val="000000" w:themeColor="text1"/>
          <w:lang w:val="en-GB"/>
        </w:rPr>
        <w:t>Ilaşcu and Others v. Moldova and Russia</w:t>
      </w:r>
      <w:r w:rsidRPr="00134D73">
        <w:rPr>
          <w:color w:val="000000" w:themeColor="text1"/>
          <w:lang w:val="en-GB"/>
        </w:rPr>
        <w:t xml:space="preserve">, no. 48787/99, judgment of 8 July 2004, </w:t>
      </w:r>
      <w:r w:rsidRPr="00134D73">
        <w:rPr>
          <w:i/>
          <w:color w:val="000000" w:themeColor="text1"/>
          <w:lang w:val="en-GB"/>
        </w:rPr>
        <w:t>ECHR</w:t>
      </w:r>
      <w:r w:rsidRPr="00134D73">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104"/>
    </w:p>
    <w:p w:rsidR="00711F6E" w:rsidRPr="00134D73" w:rsidRDefault="00711F6E" w:rsidP="00711F6E">
      <w:pPr>
        <w:tabs>
          <w:tab w:val="num" w:pos="450"/>
        </w:tabs>
        <w:suppressAutoHyphens/>
        <w:autoSpaceDE w:val="0"/>
        <w:ind w:left="450" w:hanging="450"/>
        <w:jc w:val="bot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134D73">
        <w:rPr>
          <w:i/>
          <w:color w:val="000000" w:themeColor="text1"/>
          <w:lang w:val="en-GB"/>
        </w:rPr>
        <w:t>Velásquez-Rodríguez v. Honduras</w:t>
      </w:r>
      <w:r w:rsidRPr="00134D73">
        <w:rPr>
          <w:color w:val="000000" w:themeColor="text1"/>
          <w:lang w:val="en-GB"/>
        </w:rPr>
        <w:t xml:space="preserve">, cited in § </w:t>
      </w:r>
      <w:r w:rsidR="00A4758F" w:rsidRPr="00134D73">
        <w:fldChar w:fldCharType="begin"/>
      </w:r>
      <w:r w:rsidR="00A4758F" w:rsidRPr="00134D73">
        <w:rPr>
          <w:color w:val="000000" w:themeColor="text1"/>
          <w:lang w:val="en-GB"/>
        </w:rPr>
        <w:instrText xml:space="preserve"> REF _Ref412809772 \r \h </w:instrText>
      </w:r>
      <w:r w:rsidR="00A4758F" w:rsidRPr="00134D73">
        <w:instrText xml:space="preserve"> \* MERGEFORMAT </w:instrText>
      </w:r>
      <w:r w:rsidR="00A4758F" w:rsidRPr="00134D73">
        <w:fldChar w:fldCharType="separate"/>
      </w:r>
      <w:r w:rsidR="00AB2ED0" w:rsidRPr="00134D73">
        <w:rPr>
          <w:color w:val="000000" w:themeColor="text1"/>
          <w:lang w:val="en-GB"/>
        </w:rPr>
        <w:t>76</w:t>
      </w:r>
      <w:r w:rsidR="00A4758F" w:rsidRPr="00134D73">
        <w:fldChar w:fldCharType="end"/>
      </w:r>
      <w:r w:rsidRPr="00134D73">
        <w:rPr>
          <w:color w:val="000000" w:themeColor="text1"/>
          <w:lang w:val="en-GB"/>
        </w:rPr>
        <w:t xml:space="preserve"> above, at § 150). </w:t>
      </w:r>
    </w:p>
    <w:p w:rsidR="00711F6E" w:rsidRPr="00134D73"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134D73"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The HRC has also recognised disappearances as a serious violation of human rights. In its decision of 21 July 1983</w:t>
      </w:r>
      <w:r w:rsidRPr="00E879A0">
        <w:rPr>
          <w:color w:val="000000" w:themeColor="text1"/>
          <w:lang w:val="en-GB"/>
        </w:rPr>
        <w:t xml:space="preserve">, in the case </w:t>
      </w:r>
      <w:r w:rsidRPr="00E879A0">
        <w:rPr>
          <w:i/>
          <w:color w:val="000000" w:themeColor="text1"/>
          <w:lang w:val="en-GB"/>
        </w:rPr>
        <w:t>Quinteros v. Urugay</w:t>
      </w:r>
      <w:r w:rsidRPr="00E879A0">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879A0">
        <w:rPr>
          <w:i/>
          <w:color w:val="000000" w:themeColor="text1"/>
          <w:lang w:val="en-GB"/>
        </w:rPr>
        <w:t>Mojica v. Dominican Republic</w:t>
      </w:r>
      <w:r w:rsidRPr="00E879A0">
        <w:rPr>
          <w:color w:val="000000" w:themeColor="text1"/>
          <w:lang w:val="en-GB"/>
        </w:rPr>
        <w:t xml:space="preserve">, the HRC has deemed that “the disappearance of persons is inseparably linked to treatment that amounts to a violation of article 7 </w:t>
      </w:r>
      <w:r w:rsidRPr="00E879A0">
        <w:rPr>
          <w:color w:val="000000" w:themeColor="text1"/>
          <w:lang w:val="en-GB"/>
        </w:rPr>
        <w:sym w:font="Symbol" w:char="F05B"/>
      </w:r>
      <w:r w:rsidRPr="00E879A0">
        <w:rPr>
          <w:color w:val="000000" w:themeColor="text1"/>
          <w:lang w:val="en-GB"/>
        </w:rPr>
        <w:t>of the Covenant</w:t>
      </w:r>
      <w:r w:rsidRPr="00E879A0">
        <w:rPr>
          <w:color w:val="000000" w:themeColor="text1"/>
          <w:lang w:val="en-GB"/>
        </w:rPr>
        <w:sym w:font="Symbol" w:char="F05D"/>
      </w:r>
      <w:r w:rsidRPr="00E879A0">
        <w:rPr>
          <w:color w:val="000000" w:themeColor="text1"/>
          <w:lang w:val="en-GB"/>
        </w:rPr>
        <w:t xml:space="preserve">”, also prohibiting torture, inhumane or degrading treatment and punishment (see HRC, </w:t>
      </w:r>
      <w:r w:rsidRPr="00E879A0">
        <w:rPr>
          <w:bCs/>
          <w:color w:val="000000" w:themeColor="text1"/>
          <w:lang w:val="en-GB"/>
        </w:rPr>
        <w:t xml:space="preserve">Communication No. 449/1991, U.N. Doc. CCPR/C/51/D/449/1991 (1994), </w:t>
      </w:r>
      <w:r w:rsidRPr="00E879A0">
        <w:rPr>
          <w:color w:val="000000" w:themeColor="text1"/>
          <w:lang w:val="en-GB"/>
        </w:rPr>
        <w:t>§ 5.7).</w:t>
      </w:r>
    </w:p>
    <w:p w:rsidR="00711F6E" w:rsidRPr="00E879A0"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05" w:name="_Ref374623221"/>
      <w:r w:rsidRPr="00E879A0">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879A0">
        <w:rPr>
          <w:color w:val="000000" w:themeColor="text1"/>
          <w:lang w:val="en-GB"/>
        </w:rPr>
        <w:sym w:font="Symbol" w:char="F05B"/>
      </w:r>
      <w:r w:rsidRPr="00E879A0">
        <w:rPr>
          <w:color w:val="000000" w:themeColor="text1"/>
          <w:lang w:val="en-GB"/>
        </w:rPr>
        <w:t>family member</w:t>
      </w:r>
      <w:r w:rsidRPr="00E879A0">
        <w:rPr>
          <w:color w:val="000000" w:themeColor="text1"/>
          <w:lang w:val="en-GB"/>
        </w:rPr>
        <w:sym w:font="Symbol" w:char="F05D"/>
      </w:r>
      <w:r w:rsidRPr="00E879A0">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t>
      </w:r>
      <w:r w:rsidRPr="00134D73">
        <w:rPr>
          <w:color w:val="000000" w:themeColor="text1"/>
          <w:lang w:val="en-GB"/>
        </w:rPr>
        <w:t xml:space="preserve">witnessed the events in question, the involvement of the family member in the attempts to obtain information about the disappeared person and the way in which the authorities responded to those enquiries” (see ECtHR, </w:t>
      </w:r>
      <w:r w:rsidRPr="00134D73">
        <w:rPr>
          <w:i/>
          <w:color w:val="000000" w:themeColor="text1"/>
          <w:lang w:val="en-GB"/>
        </w:rPr>
        <w:t>Basayeva and Others v. Russia</w:t>
      </w:r>
      <w:r w:rsidRPr="00134D73">
        <w:rPr>
          <w:color w:val="000000" w:themeColor="text1"/>
          <w:lang w:val="en-GB"/>
        </w:rPr>
        <w:t xml:space="preserve">, nos. 15441/05 and 20731/04, judgment of 28 May 2009, § 159; ECtHR, </w:t>
      </w:r>
      <w:r w:rsidRPr="00134D73">
        <w:rPr>
          <w:i/>
          <w:color w:val="000000" w:themeColor="text1"/>
          <w:lang w:val="en-GB"/>
        </w:rPr>
        <w:t>Er and Others v. Turkey</w:t>
      </w:r>
      <w:r w:rsidRPr="00134D73">
        <w:rPr>
          <w:color w:val="000000" w:themeColor="text1"/>
          <w:lang w:val="en-GB"/>
        </w:rPr>
        <w:t xml:space="preserve">, cited in § </w:t>
      </w:r>
      <w:r w:rsidRPr="00134D73">
        <w:fldChar w:fldCharType="begin"/>
      </w:r>
      <w:r w:rsidRPr="00134D73">
        <w:instrText xml:space="preserve"> REF _Ref374623030 \r \h  \* MERGEFORMAT </w:instrText>
      </w:r>
      <w:r w:rsidRPr="00134D73">
        <w:fldChar w:fldCharType="separate"/>
      </w:r>
      <w:r w:rsidR="00AB2ED0" w:rsidRPr="00134D73">
        <w:rPr>
          <w:color w:val="000000" w:themeColor="text1"/>
          <w:lang w:val="en-GB"/>
        </w:rPr>
        <w:t>124</w:t>
      </w:r>
      <w:r w:rsidRPr="00134D73">
        <w:fldChar w:fldCharType="end"/>
      </w:r>
      <w:r w:rsidRPr="00134D73">
        <w:rPr>
          <w:color w:val="000000" w:themeColor="text1"/>
          <w:lang w:val="en-GB"/>
        </w:rPr>
        <w:t xml:space="preserve"> above, at § 94).</w:t>
      </w:r>
      <w:bookmarkEnd w:id="105"/>
    </w:p>
    <w:p w:rsidR="00711F6E" w:rsidRPr="00134D73" w:rsidRDefault="00711F6E" w:rsidP="00711F6E">
      <w:pPr>
        <w:tabs>
          <w:tab w:val="num" w:pos="450"/>
        </w:tabs>
        <w:suppressAutoHyphens/>
        <w:autoSpaceDE w:val="0"/>
        <w:ind w:left="450" w:hanging="450"/>
        <w:jc w:val="bot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134D73">
        <w:rPr>
          <w:i/>
          <w:color w:val="000000" w:themeColor="text1"/>
          <w:lang w:val="en-GB"/>
        </w:rPr>
        <w:t>Er and Others v. Turkey,</w:t>
      </w:r>
      <w:r w:rsidRPr="00134D73">
        <w:rPr>
          <w:color w:val="000000" w:themeColor="text1"/>
          <w:lang w:val="en-GB"/>
        </w:rPr>
        <w:t xml:space="preserve"> cited above, § 96; ECtHR, </w:t>
      </w:r>
      <w:r w:rsidRPr="00134D73">
        <w:rPr>
          <w:i/>
          <w:color w:val="000000" w:themeColor="text1"/>
          <w:lang w:val="en-GB"/>
        </w:rPr>
        <w:t>Osmanoğlu v. Turkey,</w:t>
      </w:r>
      <w:r w:rsidRPr="00134D73">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134D73">
        <w:rPr>
          <w:i/>
          <w:color w:val="000000" w:themeColor="text1"/>
          <w:lang w:val="en-GB"/>
        </w:rPr>
        <w:t>Salakhov and Islyamova v. Ukraine,</w:t>
      </w:r>
      <w:r w:rsidRPr="00134D73">
        <w:rPr>
          <w:color w:val="000000" w:themeColor="text1"/>
          <w:lang w:val="en-GB"/>
        </w:rPr>
        <w:t xml:space="preserve"> no. 28005/08, judgment of 14 March 2013, § 201).</w:t>
      </w:r>
    </w:p>
    <w:p w:rsidR="00711F6E" w:rsidRPr="00134D73" w:rsidRDefault="00711F6E" w:rsidP="00711F6E">
      <w:pPr>
        <w:tabs>
          <w:tab w:val="num" w:pos="450"/>
        </w:tabs>
        <w:suppressAutoHyphens/>
        <w:autoSpaceDE w:val="0"/>
        <w:ind w:left="450" w:hanging="450"/>
        <w:jc w:val="bot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The HRC has also considered the issue and recognised family members of disappeared or missing persons as victims of a violation of Article 7 of the Covenant: parents (</w:t>
      </w:r>
      <w:r w:rsidRPr="00134D73">
        <w:rPr>
          <w:i/>
          <w:color w:val="000000" w:themeColor="text1"/>
          <w:lang w:val="en-GB"/>
        </w:rPr>
        <w:t>Boucherf v. Algeria</w:t>
      </w:r>
      <w:r w:rsidRPr="00134D73">
        <w:rPr>
          <w:color w:val="000000" w:themeColor="text1"/>
          <w:lang w:val="en-GB"/>
        </w:rPr>
        <w:t xml:space="preserve">, </w:t>
      </w:r>
      <w:r w:rsidRPr="00134D73">
        <w:rPr>
          <w:bCs/>
          <w:color w:val="000000" w:themeColor="text1"/>
          <w:lang w:val="en-GB"/>
        </w:rPr>
        <w:t>Communication No. 1196/2003</w:t>
      </w:r>
      <w:r w:rsidRPr="00134D73">
        <w:rPr>
          <w:color w:val="000000" w:themeColor="text1"/>
          <w:lang w:val="en-GB"/>
        </w:rPr>
        <w:t>, views of 30 March 2006, § 9.7, CCPR/C/86/D/1196/2003), children (</w:t>
      </w:r>
      <w:r w:rsidRPr="00134D73">
        <w:rPr>
          <w:i/>
          <w:color w:val="000000" w:themeColor="text1"/>
          <w:lang w:val="en-GB"/>
        </w:rPr>
        <w:t>Zarzi v. Algeria</w:t>
      </w:r>
      <w:r w:rsidRPr="00134D73">
        <w:rPr>
          <w:color w:val="000000" w:themeColor="text1"/>
          <w:lang w:val="en-GB"/>
        </w:rPr>
        <w:t xml:space="preserve">, </w:t>
      </w:r>
      <w:r w:rsidRPr="00134D73">
        <w:rPr>
          <w:bCs/>
          <w:color w:val="000000" w:themeColor="text1"/>
          <w:lang w:val="en-GB"/>
        </w:rPr>
        <w:t>Communication No. 1780/2008</w:t>
      </w:r>
      <w:r w:rsidRPr="00134D73">
        <w:rPr>
          <w:color w:val="000000" w:themeColor="text1"/>
          <w:lang w:val="en-GB"/>
        </w:rPr>
        <w:t xml:space="preserve">, views of 22 March 2011, § 7.6, </w:t>
      </w:r>
      <w:r w:rsidRPr="00134D73">
        <w:rPr>
          <w:bCs/>
          <w:color w:val="000000" w:themeColor="text1"/>
          <w:lang w:val="en-GB"/>
        </w:rPr>
        <w:t>CCPR/C/101/D/1780/2008</w:t>
      </w:r>
      <w:r w:rsidRPr="00134D73">
        <w:rPr>
          <w:color w:val="000000" w:themeColor="text1"/>
          <w:lang w:val="en-GB"/>
        </w:rPr>
        <w:t>), siblings (</w:t>
      </w:r>
      <w:r w:rsidRPr="00134D73">
        <w:rPr>
          <w:i/>
          <w:color w:val="000000" w:themeColor="text1"/>
          <w:lang w:val="en-GB"/>
        </w:rPr>
        <w:t>El Abani v. Libyan Arab Jamahiriya,</w:t>
      </w:r>
      <w:r w:rsidRPr="00134D73">
        <w:rPr>
          <w:bCs/>
          <w:color w:val="000000" w:themeColor="text1"/>
          <w:lang w:val="en-GB"/>
        </w:rPr>
        <w:t>Communication No. 1640/2007</w:t>
      </w:r>
      <w:r w:rsidRPr="00134D73">
        <w:rPr>
          <w:color w:val="000000" w:themeColor="text1"/>
          <w:lang w:val="en-GB"/>
        </w:rPr>
        <w:t xml:space="preserve">, views of 26 July 2010, § 7.5, </w:t>
      </w:r>
      <w:r w:rsidRPr="00134D73">
        <w:rPr>
          <w:bCs/>
          <w:color w:val="000000" w:themeColor="text1"/>
          <w:lang w:val="en-GB"/>
        </w:rPr>
        <w:t>CCPR/C/99/D/1640/2007</w:t>
      </w:r>
      <w:r w:rsidRPr="00134D73">
        <w:rPr>
          <w:color w:val="000000" w:themeColor="text1"/>
          <w:lang w:val="en-GB"/>
        </w:rPr>
        <w:t>), spouses (</w:t>
      </w:r>
      <w:r w:rsidRPr="00134D73">
        <w:rPr>
          <w:i/>
          <w:color w:val="000000" w:themeColor="text1"/>
          <w:lang w:val="en-GB"/>
        </w:rPr>
        <w:t>Bousroual v. Algeria</w:t>
      </w:r>
      <w:r w:rsidRPr="00134D73">
        <w:rPr>
          <w:color w:val="000000" w:themeColor="text1"/>
          <w:lang w:val="en-GB"/>
        </w:rPr>
        <w:t xml:space="preserve">, </w:t>
      </w:r>
      <w:r w:rsidRPr="00134D73">
        <w:rPr>
          <w:bCs/>
          <w:color w:val="000000" w:themeColor="text1"/>
          <w:lang w:val="en-GB"/>
        </w:rPr>
        <w:t>Communication No. 992/2001, views of</w:t>
      </w:r>
      <w:r w:rsidRPr="00134D73">
        <w:rPr>
          <w:color w:val="000000" w:themeColor="text1"/>
          <w:lang w:val="en-GB"/>
        </w:rPr>
        <w:t xml:space="preserve"> 30 March 2006, § 9.8, CCPR/C/86/D/992/2001), aunts and uncles (</w:t>
      </w:r>
      <w:r w:rsidRPr="00134D73">
        <w:rPr>
          <w:i/>
          <w:color w:val="000000" w:themeColor="text1"/>
          <w:lang w:val="en-GB"/>
        </w:rPr>
        <w:t>Benaniza v Algeria,</w:t>
      </w:r>
      <w:r w:rsidRPr="00134D73">
        <w:rPr>
          <w:color w:val="000000" w:themeColor="text1"/>
          <w:lang w:val="en-GB"/>
        </w:rPr>
        <w:t xml:space="preserve"> views of 26 July 2010, § 9.4, CCPR/C/99/D/1588/2007) (</w:t>
      </w:r>
      <w:r w:rsidRPr="00134D73">
        <w:rPr>
          <w:i/>
          <w:color w:val="000000" w:themeColor="text1"/>
          <w:lang w:val="en-GB"/>
        </w:rPr>
        <w:t>Bashasha v. Libyan Arab Jamahiriya</w:t>
      </w:r>
      <w:r w:rsidRPr="00134D73">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134D73">
        <w:rPr>
          <w:i/>
          <w:color w:val="000000" w:themeColor="text1"/>
          <w:lang w:val="en-GB"/>
        </w:rPr>
        <w:t>Aboussedra v. Libyan Arab Jamahiriya</w:t>
      </w:r>
      <w:r w:rsidRPr="00134D73">
        <w:rPr>
          <w:color w:val="000000" w:themeColor="text1"/>
          <w:lang w:val="en-GB"/>
        </w:rPr>
        <w:t xml:space="preserve">, </w:t>
      </w:r>
      <w:r w:rsidRPr="00134D73">
        <w:rPr>
          <w:bCs/>
          <w:color w:val="000000" w:themeColor="text1"/>
          <w:lang w:val="en-GB"/>
        </w:rPr>
        <w:t>Communication No. 1751/2008,</w:t>
      </w:r>
      <w:r w:rsidRPr="00134D73">
        <w:rPr>
          <w:color w:val="000000" w:themeColor="text1"/>
          <w:lang w:val="en-GB"/>
        </w:rPr>
        <w:t xml:space="preserve"> views of 25 October 2010, § 7.5, </w:t>
      </w:r>
      <w:r w:rsidRPr="00134D73">
        <w:rPr>
          <w:bCs/>
          <w:color w:val="000000" w:themeColor="text1"/>
          <w:lang w:val="en-GB"/>
        </w:rPr>
        <w:t>CCPR/C/100/D/1751/2008</w:t>
      </w:r>
      <w:r w:rsidRPr="00134D73">
        <w:rPr>
          <w:color w:val="000000" w:themeColor="text1"/>
          <w:lang w:val="en-GB"/>
        </w:rPr>
        <w:t xml:space="preserve">). In the case </w:t>
      </w:r>
      <w:r w:rsidRPr="00134D73">
        <w:rPr>
          <w:i/>
          <w:color w:val="000000" w:themeColor="text1"/>
          <w:lang w:val="en-GB"/>
        </w:rPr>
        <w:t>Amirov v. Russian Federation</w:t>
      </w:r>
      <w:r w:rsidRPr="00134D73">
        <w:rPr>
          <w:color w:val="000000" w:themeColor="text1"/>
          <w:lang w:val="en-GB"/>
        </w:rPr>
        <w:t xml:space="preserve"> the Committee observed that “</w:t>
      </w:r>
      <w:r w:rsidRPr="00134D73">
        <w:rPr>
          <w:color w:val="000000" w:themeColor="text1"/>
          <w:lang w:val="en-GB"/>
        </w:rPr>
        <w:sym w:font="Symbol" w:char="F05B"/>
      </w:r>
      <w:r w:rsidRPr="00134D73">
        <w:rPr>
          <w:color w:val="000000" w:themeColor="text1"/>
          <w:lang w:val="en-GB"/>
        </w:rPr>
        <w:t>w</w:t>
      </w:r>
      <w:r w:rsidRPr="00134D73">
        <w:rPr>
          <w:color w:val="000000" w:themeColor="text1"/>
          <w:lang w:val="en-GB"/>
        </w:rPr>
        <w:sym w:font="Symbol" w:char="F05D"/>
      </w:r>
      <w:proofErr w:type="spellStart"/>
      <w:r w:rsidRPr="00134D73">
        <w:rPr>
          <w:color w:val="000000" w:themeColor="text1"/>
          <w:lang w:val="en-GB"/>
        </w:rPr>
        <w:t>ithout</w:t>
      </w:r>
      <w:proofErr w:type="spellEnd"/>
      <w:r w:rsidRPr="00134D73">
        <w:rPr>
          <w:color w:val="000000" w:themeColor="text1"/>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134D73">
        <w:rPr>
          <w:color w:val="000000" w:themeColor="text1"/>
          <w:lang w:val="en-GB"/>
        </w:rPr>
        <w:t>lead</w:t>
      </w:r>
      <w:proofErr w:type="spellEnd"/>
      <w:r w:rsidRPr="00134D73">
        <w:rPr>
          <w:color w:val="000000" w:themeColor="text1"/>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134D73">
        <w:rPr>
          <w:i/>
          <w:color w:val="000000" w:themeColor="text1"/>
          <w:lang w:val="en-GB"/>
        </w:rPr>
        <w:t>Amirov</w:t>
      </w:r>
      <w:r w:rsidRPr="00134D73">
        <w:rPr>
          <w:color w:val="000000" w:themeColor="text1"/>
          <w:lang w:val="en-GB"/>
        </w:rPr>
        <w:t>, cited in §</w:t>
      </w:r>
      <w:r w:rsidR="00FC30AF" w:rsidRPr="00134D73">
        <w:rPr>
          <w:color w:val="000000" w:themeColor="text1"/>
          <w:lang w:val="en-GB"/>
        </w:rPr>
        <w:t xml:space="preserve"> </w:t>
      </w:r>
      <w:r w:rsidR="00FC30AF" w:rsidRPr="00134D73">
        <w:rPr>
          <w:color w:val="000000" w:themeColor="text1"/>
          <w:lang w:val="en-GB"/>
        </w:rPr>
        <w:fldChar w:fldCharType="begin"/>
      </w:r>
      <w:r w:rsidR="00FC30AF" w:rsidRPr="00134D73">
        <w:rPr>
          <w:color w:val="000000" w:themeColor="text1"/>
          <w:lang w:val="en-GB"/>
        </w:rPr>
        <w:instrText xml:space="preserve"> REF _Ref404685440 \r \h </w:instrText>
      </w:r>
      <w:r w:rsidR="000D2756" w:rsidRPr="00134D73">
        <w:rPr>
          <w:color w:val="000000" w:themeColor="text1"/>
          <w:lang w:val="en-GB"/>
        </w:rPr>
        <w:instrText xml:space="preserve"> \* MERGEFORMAT </w:instrText>
      </w:r>
      <w:r w:rsidR="00FC30AF" w:rsidRPr="00134D73">
        <w:rPr>
          <w:color w:val="000000" w:themeColor="text1"/>
          <w:lang w:val="en-GB"/>
        </w:rPr>
      </w:r>
      <w:r w:rsidR="00FC30AF" w:rsidRPr="00134D73">
        <w:rPr>
          <w:color w:val="000000" w:themeColor="text1"/>
          <w:lang w:val="en-GB"/>
        </w:rPr>
        <w:fldChar w:fldCharType="separate"/>
      </w:r>
      <w:r w:rsidR="00AB2ED0" w:rsidRPr="00134D73">
        <w:rPr>
          <w:color w:val="000000" w:themeColor="text1"/>
          <w:lang w:val="en-GB"/>
        </w:rPr>
        <w:t>92</w:t>
      </w:r>
      <w:r w:rsidR="00FC30AF" w:rsidRPr="00134D73">
        <w:rPr>
          <w:color w:val="000000" w:themeColor="text1"/>
          <w:lang w:val="en-GB"/>
        </w:rPr>
        <w:fldChar w:fldCharType="end"/>
      </w:r>
      <w:r w:rsidRPr="00134D73">
        <w:rPr>
          <w:color w:val="000000" w:themeColor="text1"/>
          <w:lang w:val="en-GB"/>
        </w:rPr>
        <w:t xml:space="preserve"> above, at § 11.7).</w:t>
      </w:r>
    </w:p>
    <w:p w:rsidR="00711F6E" w:rsidRPr="00134D73" w:rsidRDefault="00711F6E" w:rsidP="00711F6E">
      <w:pPr>
        <w:tabs>
          <w:tab w:val="num" w:pos="450"/>
        </w:tabs>
        <w:suppressAutoHyphens/>
        <w:autoSpaceDE w:val="0"/>
        <w:ind w:left="450" w:hanging="450"/>
        <w:jc w:val="bot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w:t>
      </w:r>
      <w:r w:rsidRPr="00134D73">
        <w:rPr>
          <w:color w:val="000000" w:themeColor="text1"/>
          <w:lang w:val="en-GB"/>
        </w:rPr>
        <w:lastRenderedPageBreak/>
        <w:t xml:space="preserve">applicants’ enquiries should be global and continuous (see ECtHR, </w:t>
      </w:r>
      <w:r w:rsidRPr="00134D73">
        <w:rPr>
          <w:i/>
          <w:color w:val="000000" w:themeColor="text1"/>
          <w:lang w:val="en-GB"/>
        </w:rPr>
        <w:t>Açiș v. Turkey</w:t>
      </w:r>
      <w:r w:rsidRPr="00134D73">
        <w:rPr>
          <w:color w:val="000000" w:themeColor="text1"/>
          <w:lang w:val="en-GB"/>
        </w:rPr>
        <w:t>, no. 7050/05, judgment of 1 February 2011, § 45).</w:t>
      </w:r>
    </w:p>
    <w:p w:rsidR="00711F6E" w:rsidRPr="00134D73"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134D73">
        <w:rPr>
          <w:i/>
          <w:color w:val="000000" w:themeColor="text1"/>
          <w:lang w:val="en-GB"/>
        </w:rPr>
        <w:t>Basayeva and Others v. Russia</w:t>
      </w:r>
      <w:r w:rsidRPr="00134D73">
        <w:rPr>
          <w:color w:val="000000" w:themeColor="text1"/>
          <w:lang w:val="en-GB"/>
        </w:rPr>
        <w:t xml:space="preserve">, cited in § </w:t>
      </w:r>
      <w:r w:rsidRPr="00134D73">
        <w:fldChar w:fldCharType="begin"/>
      </w:r>
      <w:r w:rsidRPr="00134D73">
        <w:instrText xml:space="preserve"> REF _Ref374623221 \r \h  \* MERGEFORMAT </w:instrText>
      </w:r>
      <w:r w:rsidRPr="00134D73">
        <w:fldChar w:fldCharType="separate"/>
      </w:r>
      <w:r w:rsidR="00AB2ED0" w:rsidRPr="00134D73">
        <w:rPr>
          <w:color w:val="000000" w:themeColor="text1"/>
          <w:lang w:val="en-GB"/>
        </w:rPr>
        <w:t>135</w:t>
      </w:r>
      <w:r w:rsidRPr="00134D73">
        <w:fldChar w:fldCharType="end"/>
      </w:r>
      <w:r w:rsidRPr="00134D73">
        <w:rPr>
          <w:color w:val="000000" w:themeColor="text1"/>
          <w:lang w:val="en-GB"/>
        </w:rPr>
        <w:t xml:space="preserve"> above, at § 109; ECtHR, </w:t>
      </w:r>
      <w:r w:rsidRPr="00134D73">
        <w:rPr>
          <w:i/>
          <w:color w:val="000000" w:themeColor="text1"/>
          <w:lang w:val="en-GB"/>
        </w:rPr>
        <w:t>Gelayevy v. Russia</w:t>
      </w:r>
      <w:r w:rsidRPr="00134D73">
        <w:rPr>
          <w:color w:val="000000" w:themeColor="text1"/>
          <w:lang w:val="en-GB"/>
        </w:rPr>
        <w:t xml:space="preserve">, cited in § </w:t>
      </w:r>
      <w:r w:rsidRPr="00134D73">
        <w:fldChar w:fldCharType="begin"/>
      </w:r>
      <w:r w:rsidRPr="00134D73">
        <w:instrText xml:space="preserve"> REF _Ref374623316 \r \h  \* MERGEFORMAT </w:instrText>
      </w:r>
      <w:r w:rsidRPr="00134D73">
        <w:fldChar w:fldCharType="separate"/>
      </w:r>
      <w:r w:rsidR="00AB2ED0" w:rsidRPr="00134D73">
        <w:rPr>
          <w:color w:val="000000" w:themeColor="text1"/>
          <w:lang w:val="en-GB"/>
        </w:rPr>
        <w:t>125</w:t>
      </w:r>
      <w:r w:rsidRPr="00134D73">
        <w:fldChar w:fldCharType="end"/>
      </w:r>
      <w:r w:rsidRPr="00134D73">
        <w:rPr>
          <w:color w:val="000000" w:themeColor="text1"/>
          <w:lang w:val="en-GB"/>
        </w:rPr>
        <w:t xml:space="preserve"> above, at § 147; ECtHR, </w:t>
      </w:r>
      <w:r w:rsidRPr="00134D73">
        <w:rPr>
          <w:i/>
          <w:color w:val="000000" w:themeColor="text1"/>
          <w:lang w:val="en-GB"/>
        </w:rPr>
        <w:t>Bazorkina v. Russia</w:t>
      </w:r>
      <w:r w:rsidRPr="00134D73">
        <w:rPr>
          <w:color w:val="000000" w:themeColor="text1"/>
          <w:lang w:val="en-GB"/>
        </w:rPr>
        <w:t xml:space="preserve">, cited in § </w:t>
      </w:r>
      <w:r w:rsidR="00FC30AF" w:rsidRPr="00134D73">
        <w:fldChar w:fldCharType="begin"/>
      </w:r>
      <w:r w:rsidR="00FC30AF" w:rsidRPr="00134D73">
        <w:rPr>
          <w:color w:val="000000" w:themeColor="text1"/>
          <w:lang w:val="en-GB"/>
        </w:rPr>
        <w:instrText xml:space="preserve"> REF _Ref366241459 \r \h </w:instrText>
      </w:r>
      <w:r w:rsidR="000D2756" w:rsidRPr="00134D73">
        <w:instrText xml:space="preserve"> \* MERGEFORMAT </w:instrText>
      </w:r>
      <w:r w:rsidR="00FC30AF" w:rsidRPr="00134D73">
        <w:fldChar w:fldCharType="separate"/>
      </w:r>
      <w:r w:rsidR="00AB2ED0" w:rsidRPr="00134D73">
        <w:rPr>
          <w:color w:val="000000" w:themeColor="text1"/>
          <w:lang w:val="en-GB"/>
        </w:rPr>
        <w:t>91</w:t>
      </w:r>
      <w:r w:rsidR="00FC30AF" w:rsidRPr="00134D73">
        <w:fldChar w:fldCharType="end"/>
      </w:r>
      <w:r w:rsidRPr="00134D73">
        <w:rPr>
          <w:color w:val="000000" w:themeColor="text1"/>
          <w:lang w:val="en-GB"/>
        </w:rPr>
        <w:t xml:space="preserve"> above, at § 140).</w:t>
      </w:r>
    </w:p>
    <w:p w:rsidR="00711F6E" w:rsidRPr="00134D73"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134D73">
        <w:rPr>
          <w:i/>
          <w:color w:val="000000" w:themeColor="text1"/>
          <w:lang w:val="en-GB"/>
        </w:rPr>
        <w:t>Luluyev and Others v. Russia</w:t>
      </w:r>
      <w:r w:rsidRPr="00134D73">
        <w:rPr>
          <w:color w:val="000000" w:themeColor="text1"/>
          <w:lang w:val="en-GB"/>
        </w:rPr>
        <w:t xml:space="preserve">, no. 69480/01, judgment of 9 November 2006, §§ 117 - 118; ECtHR, </w:t>
      </w:r>
      <w:r w:rsidRPr="00134D73">
        <w:rPr>
          <w:i/>
          <w:color w:val="000000" w:themeColor="text1"/>
          <w:lang w:val="en-GB"/>
        </w:rPr>
        <w:t>Kukayev v. Russia</w:t>
      </w:r>
      <w:r w:rsidRPr="00134D73">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134D73"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34D73">
        <w:rPr>
          <w:rStyle w:val="sb8d990e2"/>
          <w:color w:val="000000" w:themeColor="text1"/>
          <w:lang w:val="en-GB"/>
        </w:rPr>
        <w:t>could have in itself</w:t>
      </w:r>
      <w:r w:rsidRPr="00134D73">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134D73">
        <w:rPr>
          <w:i/>
          <w:color w:val="000000" w:themeColor="text1"/>
          <w:lang w:val="en-GB"/>
        </w:rPr>
        <w:t>Tovsultanova v. Russia</w:t>
      </w:r>
      <w:r w:rsidRPr="00134D73">
        <w:rPr>
          <w:color w:val="000000" w:themeColor="text1"/>
          <w:lang w:val="en-GB"/>
        </w:rPr>
        <w:t xml:space="preserve">, no. 26974/06, judgment of 17 June 2010, § 104; ECtHR, </w:t>
      </w:r>
      <w:r w:rsidRPr="00134D73">
        <w:rPr>
          <w:i/>
          <w:color w:val="000000" w:themeColor="text1"/>
          <w:lang w:val="en-GB"/>
        </w:rPr>
        <w:t>Shafiyeva v. Russia</w:t>
      </w:r>
      <w:r w:rsidRPr="00134D73">
        <w:rPr>
          <w:color w:val="000000" w:themeColor="text1"/>
          <w:lang w:val="en-GB"/>
        </w:rPr>
        <w:t>, no. 49379/09, judgment of 3 May 2012, § 103).</w:t>
      </w:r>
    </w:p>
    <w:p w:rsidR="00711F6E" w:rsidRPr="00134D73" w:rsidRDefault="00711F6E" w:rsidP="00711F6E">
      <w:pPr>
        <w:pStyle w:val="Default"/>
        <w:tabs>
          <w:tab w:val="left" w:pos="360"/>
          <w:tab w:val="left" w:pos="540"/>
          <w:tab w:val="left" w:pos="720"/>
        </w:tabs>
        <w:ind w:left="450" w:hanging="450"/>
        <w:jc w:val="both"/>
        <w:rPr>
          <w:color w:val="000000" w:themeColor="text1"/>
          <w:lang w:val="en-GB"/>
        </w:rPr>
      </w:pPr>
    </w:p>
    <w:p w:rsidR="00711F6E" w:rsidRPr="00134D73" w:rsidRDefault="00711F6E" w:rsidP="00711F6E">
      <w:pPr>
        <w:pStyle w:val="ListParagraph1"/>
        <w:numPr>
          <w:ilvl w:val="0"/>
          <w:numId w:val="16"/>
        </w:numPr>
        <w:ind w:left="360"/>
        <w:jc w:val="both"/>
        <w:rPr>
          <w:i/>
          <w:color w:val="000000" w:themeColor="text1"/>
          <w:lang w:eastAsia="en-US"/>
        </w:rPr>
      </w:pPr>
      <w:r w:rsidRPr="00134D73">
        <w:rPr>
          <w:i/>
          <w:color w:val="000000" w:themeColor="text1"/>
          <w:lang w:eastAsia="en-US"/>
        </w:rPr>
        <w:t>Applicability of Article 3 to the Kosovo context</w:t>
      </w:r>
    </w:p>
    <w:p w:rsidR="00711F6E" w:rsidRPr="00134D73" w:rsidRDefault="00711F6E" w:rsidP="00711F6E">
      <w:pPr>
        <w:pStyle w:val="Default"/>
        <w:tabs>
          <w:tab w:val="left" w:pos="360"/>
          <w:tab w:val="left" w:pos="540"/>
          <w:tab w:val="left" w:pos="720"/>
        </w:tabs>
        <w:ind w:hanging="360"/>
        <w:jc w:val="bot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With regard to the </w:t>
      </w:r>
      <w:r w:rsidRPr="00134D73">
        <w:rPr>
          <w:rStyle w:val="sb8d990e2"/>
          <w:color w:val="000000" w:themeColor="text1"/>
        </w:rPr>
        <w:t>applicability</w:t>
      </w:r>
      <w:r w:rsidRPr="00134D73">
        <w:rPr>
          <w:color w:val="000000" w:themeColor="text1"/>
          <w:lang w:val="en-GB"/>
        </w:rPr>
        <w:t xml:space="preserve"> of the above standards to the Kosovo context, the Panel first refers to its view on the same issue with regard to Article 2, developed above (see §§ </w:t>
      </w:r>
      <w:r w:rsidRPr="00134D73">
        <w:fldChar w:fldCharType="begin"/>
      </w:r>
      <w:r w:rsidRPr="00134D73">
        <w:rPr>
          <w:color w:val="000000" w:themeColor="text1"/>
          <w:lang w:val="en-GB"/>
        </w:rPr>
        <w:instrText xml:space="preserve"> REF _Ref366163783 \r \h </w:instrText>
      </w:r>
      <w:r w:rsidR="000D2756" w:rsidRPr="00134D73">
        <w:instrText xml:space="preserve"> \* MERGEFORMAT </w:instrText>
      </w:r>
      <w:r w:rsidRPr="00134D73">
        <w:fldChar w:fldCharType="separate"/>
      </w:r>
      <w:r w:rsidR="00AB2ED0" w:rsidRPr="00134D73">
        <w:rPr>
          <w:color w:val="000000" w:themeColor="text1"/>
          <w:lang w:val="en-GB"/>
        </w:rPr>
        <w:t>86</w:t>
      </w:r>
      <w:r w:rsidRPr="00134D73">
        <w:fldChar w:fldCharType="end"/>
      </w:r>
      <w:r w:rsidRPr="00134D73">
        <w:rPr>
          <w:color w:val="000000" w:themeColor="text1"/>
          <w:lang w:val="en-GB"/>
        </w:rPr>
        <w:t xml:space="preserve"> - </w:t>
      </w:r>
      <w:r w:rsidRPr="00134D73">
        <w:fldChar w:fldCharType="begin"/>
      </w:r>
      <w:r w:rsidRPr="00134D73">
        <w:rPr>
          <w:color w:val="000000" w:themeColor="text1"/>
          <w:lang w:val="en-GB"/>
        </w:rPr>
        <w:instrText xml:space="preserve"> REF _Ref403834230 \r \h </w:instrText>
      </w:r>
      <w:r w:rsidR="000D2756" w:rsidRPr="00134D73">
        <w:instrText xml:space="preserve"> \* MERGEFORMAT </w:instrText>
      </w:r>
      <w:r w:rsidRPr="00134D73">
        <w:fldChar w:fldCharType="separate"/>
      </w:r>
      <w:r w:rsidR="00AB2ED0" w:rsidRPr="00134D73">
        <w:rPr>
          <w:color w:val="000000" w:themeColor="text1"/>
          <w:lang w:val="en-GB"/>
        </w:rPr>
        <w:t>96</w:t>
      </w:r>
      <w:r w:rsidRPr="00134D73">
        <w:fldChar w:fldCharType="end"/>
      </w:r>
      <w:r w:rsidRPr="00134D73">
        <w:rPr>
          <w:color w:val="000000" w:themeColor="text1"/>
          <w:lang w:val="en-GB"/>
        </w:rPr>
        <w:t xml:space="preserve"> above).</w:t>
      </w:r>
    </w:p>
    <w:p w:rsidR="00711F6E" w:rsidRPr="00134D73" w:rsidRDefault="00711F6E" w:rsidP="00711F6E">
      <w:pPr>
        <w:pStyle w:val="Default"/>
        <w:tabs>
          <w:tab w:val="num" w:pos="450"/>
        </w:tabs>
        <w:ind w:left="450" w:hanging="450"/>
        <w:jc w:val="bot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134D73">
        <w:rPr>
          <w:color w:val="000000" w:themeColor="text1"/>
          <w:lang w:val="en-GB"/>
        </w:rPr>
        <w:fldChar w:fldCharType="begin"/>
      </w:r>
      <w:r w:rsidR="00FC30AF" w:rsidRPr="00134D73">
        <w:rPr>
          <w:color w:val="000000" w:themeColor="text1"/>
          <w:lang w:val="en-GB"/>
        </w:rPr>
        <w:instrText xml:space="preserve"> REF _Ref346123767 \r \h </w:instrText>
      </w:r>
      <w:r w:rsidR="000D2756" w:rsidRPr="00134D73">
        <w:rPr>
          <w:color w:val="000000" w:themeColor="text1"/>
          <w:lang w:val="en-GB"/>
        </w:rPr>
        <w:instrText xml:space="preserve"> \* MERGEFORMAT </w:instrText>
      </w:r>
      <w:r w:rsidR="00FC30AF" w:rsidRPr="00134D73">
        <w:rPr>
          <w:color w:val="000000" w:themeColor="text1"/>
          <w:lang w:val="en-GB"/>
        </w:rPr>
      </w:r>
      <w:r w:rsidR="00FC30AF" w:rsidRPr="00134D73">
        <w:rPr>
          <w:color w:val="000000" w:themeColor="text1"/>
          <w:lang w:val="en-GB"/>
        </w:rPr>
        <w:fldChar w:fldCharType="separate"/>
      </w:r>
      <w:r w:rsidR="00AB2ED0" w:rsidRPr="00134D73">
        <w:rPr>
          <w:color w:val="000000" w:themeColor="text1"/>
          <w:lang w:val="en-GB"/>
        </w:rPr>
        <w:t>18</w:t>
      </w:r>
      <w:r w:rsidR="00FC30AF" w:rsidRPr="00134D73">
        <w:rPr>
          <w:color w:val="000000" w:themeColor="text1"/>
          <w:lang w:val="en-GB"/>
        </w:rPr>
        <w:fldChar w:fldCharType="end"/>
      </w:r>
      <w:r w:rsidR="00FC30AF" w:rsidRPr="00134D73">
        <w:rPr>
          <w:color w:val="000000" w:themeColor="text1"/>
          <w:lang w:val="en-GB"/>
        </w:rPr>
        <w:t xml:space="preserve"> </w:t>
      </w:r>
      <w:r w:rsidRPr="00134D73">
        <w:rPr>
          <w:color w:val="000000" w:themeColor="text1"/>
          <w:lang w:val="en-GB"/>
        </w:rPr>
        <w:t>above).</w:t>
      </w:r>
    </w:p>
    <w:p w:rsidR="00711F6E" w:rsidRPr="00134D73"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The Panel again notes that it will not review relevant practices or alleged obstacles to the conduct of effective investigations </w:t>
      </w:r>
      <w:r w:rsidRPr="00134D73">
        <w:rPr>
          <w:i/>
          <w:color w:val="000000" w:themeColor="text1"/>
          <w:lang w:val="en-GB"/>
        </w:rPr>
        <w:t>in abstracto</w:t>
      </w:r>
      <w:r w:rsidRPr="00134D73">
        <w:rPr>
          <w:color w:val="000000" w:themeColor="text1"/>
          <w:lang w:val="en-GB"/>
        </w:rPr>
        <w:t>, but only in relation to their specific application to the complaint before it, considering the particular circumstances of the case.</w:t>
      </w:r>
    </w:p>
    <w:p w:rsidR="00711F6E" w:rsidRPr="00134D73"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For these reasons, the Panel considers that it has to establish with regard to each case whether the attitude and reactions of UNMIK authorities to the disappearance itself and to the complainants’ quest for information with regard to the fate of their relatives and the </w:t>
      </w:r>
      <w:r w:rsidRPr="00134D73">
        <w:rPr>
          <w:color w:val="000000" w:themeColor="text1"/>
          <w:lang w:val="en-GB"/>
        </w:rPr>
        <w:lastRenderedPageBreak/>
        <w:t>criminal investigation, would amount to a violation of the obligation under Article 3, having regard to the realities in Kosovo at the relevant time.</w:t>
      </w:r>
    </w:p>
    <w:p w:rsidR="00711F6E" w:rsidRPr="00134D73" w:rsidRDefault="00711F6E" w:rsidP="00711F6E">
      <w:pPr>
        <w:rPr>
          <w:i/>
          <w:color w:val="000000" w:themeColor="text1"/>
          <w:lang w:val="en-GB"/>
        </w:rPr>
      </w:pPr>
    </w:p>
    <w:p w:rsidR="00711F6E" w:rsidRPr="00134D73" w:rsidRDefault="00711F6E" w:rsidP="00711F6E">
      <w:pPr>
        <w:pStyle w:val="ListParagraph1"/>
        <w:numPr>
          <w:ilvl w:val="0"/>
          <w:numId w:val="16"/>
        </w:numPr>
        <w:ind w:left="360"/>
        <w:jc w:val="both"/>
        <w:rPr>
          <w:color w:val="000000" w:themeColor="text1"/>
        </w:rPr>
      </w:pPr>
      <w:r w:rsidRPr="00134D73">
        <w:rPr>
          <w:i/>
          <w:color w:val="000000" w:themeColor="text1"/>
          <w:lang w:eastAsia="en-US"/>
        </w:rPr>
        <w:t>Compliance</w:t>
      </w:r>
      <w:r w:rsidRPr="00134D73">
        <w:rPr>
          <w:i/>
          <w:color w:val="000000" w:themeColor="text1"/>
        </w:rPr>
        <w:t xml:space="preserve"> with Article 3 in the present case</w:t>
      </w:r>
    </w:p>
    <w:p w:rsidR="00711F6E" w:rsidRPr="00134D73" w:rsidRDefault="00711F6E" w:rsidP="00711F6E">
      <w:pPr>
        <w:pStyle w:val="ListParagraph"/>
        <w:ind w:left="36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Against this background, the Panel discerns a number of factors in the present case which, taken together, raise the question of violation of Article 3 of the ECHR.</w:t>
      </w:r>
    </w:p>
    <w:p w:rsidR="00711F6E" w:rsidRPr="00134D73" w:rsidRDefault="00711F6E" w:rsidP="00711F6E">
      <w:pPr>
        <w:pStyle w:val="Default"/>
        <w:tabs>
          <w:tab w:val="num" w:pos="450"/>
        </w:tabs>
        <w:ind w:left="450" w:hanging="450"/>
        <w:jc w:val="bot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The Panel notes the proximity of the family ties between the complainant and </w:t>
      </w:r>
      <w:r w:rsidR="00A4758F" w:rsidRPr="00134D73">
        <w:rPr>
          <w:lang w:val="en-GB"/>
        </w:rPr>
        <w:t xml:space="preserve">Mrs </w:t>
      </w:r>
      <w:proofErr w:type="spellStart"/>
      <w:r w:rsidR="00A4758F" w:rsidRPr="00134D73">
        <w:rPr>
          <w:lang w:val="en-GB"/>
        </w:rPr>
        <w:t>Slavka</w:t>
      </w:r>
      <w:proofErr w:type="spellEnd"/>
      <w:r w:rsidR="00A4758F" w:rsidRPr="00134D73">
        <w:rPr>
          <w:lang w:val="en-GB"/>
        </w:rPr>
        <w:t xml:space="preserve"> </w:t>
      </w:r>
      <w:proofErr w:type="spellStart"/>
      <w:r w:rsidR="00A4758F" w:rsidRPr="00134D73">
        <w:rPr>
          <w:lang w:val="en-GB"/>
        </w:rPr>
        <w:t>Pantović</w:t>
      </w:r>
      <w:proofErr w:type="spellEnd"/>
      <w:r w:rsidR="00A4758F" w:rsidRPr="00134D73">
        <w:rPr>
          <w:lang w:val="en-GB"/>
        </w:rPr>
        <w:t xml:space="preserve">, Mr </w:t>
      </w:r>
      <w:proofErr w:type="spellStart"/>
      <w:r w:rsidR="00A4758F" w:rsidRPr="00134D73">
        <w:rPr>
          <w:lang w:val="en-GB"/>
        </w:rPr>
        <w:t>Milić</w:t>
      </w:r>
      <w:proofErr w:type="spellEnd"/>
      <w:r w:rsidR="00A4758F" w:rsidRPr="00134D73">
        <w:rPr>
          <w:lang w:val="en-GB"/>
        </w:rPr>
        <w:t xml:space="preserve"> </w:t>
      </w:r>
      <w:proofErr w:type="spellStart"/>
      <w:r w:rsidR="00A4758F" w:rsidRPr="00134D73">
        <w:rPr>
          <w:lang w:val="en-GB"/>
        </w:rPr>
        <w:t>Pantović</w:t>
      </w:r>
      <w:proofErr w:type="spellEnd"/>
      <w:r w:rsidR="00A4758F" w:rsidRPr="00134D73">
        <w:rPr>
          <w:lang w:val="en-GB"/>
        </w:rPr>
        <w:t xml:space="preserve"> and Mrs </w:t>
      </w:r>
      <w:proofErr w:type="spellStart"/>
      <w:r w:rsidR="00A4758F" w:rsidRPr="00134D73">
        <w:rPr>
          <w:lang w:val="en-GB"/>
        </w:rPr>
        <w:t>Mileva</w:t>
      </w:r>
      <w:proofErr w:type="spellEnd"/>
      <w:r w:rsidR="00A4758F" w:rsidRPr="00134D73">
        <w:rPr>
          <w:lang w:val="en-GB"/>
        </w:rPr>
        <w:t xml:space="preserve"> </w:t>
      </w:r>
      <w:proofErr w:type="spellStart"/>
      <w:r w:rsidR="00A4758F" w:rsidRPr="00134D73">
        <w:rPr>
          <w:lang w:val="en-GB"/>
        </w:rPr>
        <w:t>Pantović</w:t>
      </w:r>
      <w:proofErr w:type="spellEnd"/>
      <w:r w:rsidRPr="00134D73">
        <w:rPr>
          <w:color w:val="000000" w:themeColor="text1"/>
        </w:rPr>
        <w:t xml:space="preserve">, as the latter </w:t>
      </w:r>
      <w:r w:rsidR="00A4758F" w:rsidRPr="00134D73">
        <w:rPr>
          <w:color w:val="000000" w:themeColor="text1"/>
        </w:rPr>
        <w:t>are</w:t>
      </w:r>
      <w:r w:rsidRPr="00134D73">
        <w:rPr>
          <w:color w:val="000000" w:themeColor="text1"/>
        </w:rPr>
        <w:t xml:space="preserve"> the complainant’s </w:t>
      </w:r>
      <w:r w:rsidR="00A4758F" w:rsidRPr="00134D73">
        <w:rPr>
          <w:color w:val="000000" w:themeColor="text1"/>
        </w:rPr>
        <w:t>aunts and uncle</w:t>
      </w:r>
      <w:r w:rsidRPr="00134D73">
        <w:rPr>
          <w:color w:val="000000" w:themeColor="text1"/>
        </w:rPr>
        <w:t>.</w:t>
      </w:r>
      <w:r w:rsidRPr="00134D73">
        <w:rPr>
          <w:color w:val="000000" w:themeColor="text1"/>
          <w:lang w:val="en-GB"/>
        </w:rPr>
        <w:t xml:space="preserve"> </w:t>
      </w:r>
    </w:p>
    <w:p w:rsidR="00711F6E" w:rsidRPr="00134D73" w:rsidRDefault="00711F6E" w:rsidP="00711F6E">
      <w:pPr>
        <w:tabs>
          <w:tab w:val="num" w:pos="450"/>
        </w:tabs>
        <w:autoSpaceDE w:val="0"/>
        <w:ind w:left="450" w:hanging="450"/>
        <w:jc w:val="bot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134D73" w:rsidRDefault="00711F6E" w:rsidP="00711F6E">
      <w:pPr>
        <w:pStyle w:val="ListParagraph"/>
        <w:ind w:left="450" w:hanging="450"/>
        <w:rPr>
          <w:color w:val="000000" w:themeColor="text1"/>
          <w:lang w:val="en-GB"/>
        </w:rPr>
      </w:pPr>
    </w:p>
    <w:p w:rsidR="00A11A8F" w:rsidRPr="00134D73" w:rsidRDefault="00711F6E" w:rsidP="00A11A8F">
      <w:pPr>
        <w:numPr>
          <w:ilvl w:val="0"/>
          <w:numId w:val="2"/>
        </w:numPr>
        <w:tabs>
          <w:tab w:val="left" w:pos="709"/>
        </w:tabs>
        <w:suppressAutoHyphens/>
        <w:autoSpaceDE w:val="0"/>
        <w:ind w:left="450" w:hanging="450"/>
        <w:jc w:val="both"/>
        <w:rPr>
          <w:color w:val="000000" w:themeColor="text1"/>
          <w:lang w:val="en-GB"/>
        </w:rPr>
      </w:pPr>
      <w:r w:rsidRPr="00134D73">
        <w:rPr>
          <w:color w:val="000000" w:themeColor="text1"/>
          <w:lang w:val="en-GB"/>
        </w:rPr>
        <w:t>As was shown above with regard to Article 2, no proper investigation was conducted in this case. There has been no evidence presented in the file concerning contact between the complainant and UNMIK authorities</w:t>
      </w:r>
      <w:r w:rsidRPr="00134D73">
        <w:rPr>
          <w:bCs/>
          <w:color w:val="000000" w:themeColor="text1"/>
          <w:lang w:val="en-GB"/>
        </w:rPr>
        <w:t>; likewise, no statement was ever taken from the complainant, any family member or witness</w:t>
      </w:r>
      <w:r w:rsidR="009D0FD6" w:rsidRPr="00134D73">
        <w:rPr>
          <w:bCs/>
          <w:color w:val="000000" w:themeColor="text1"/>
          <w:lang w:val="en-GB"/>
        </w:rPr>
        <w:t xml:space="preserve"> with respect to Mrs </w:t>
      </w:r>
      <w:proofErr w:type="spellStart"/>
      <w:r w:rsidR="009D0FD6" w:rsidRPr="00134D73">
        <w:rPr>
          <w:bCs/>
          <w:color w:val="000000" w:themeColor="text1"/>
          <w:lang w:val="en-GB"/>
        </w:rPr>
        <w:t>Mileva</w:t>
      </w:r>
      <w:proofErr w:type="spellEnd"/>
      <w:r w:rsidR="009D0FD6" w:rsidRPr="00134D73">
        <w:rPr>
          <w:bCs/>
          <w:color w:val="000000" w:themeColor="text1"/>
          <w:lang w:val="en-GB"/>
        </w:rPr>
        <w:t xml:space="preserve"> </w:t>
      </w:r>
      <w:proofErr w:type="spellStart"/>
      <w:r w:rsidR="009D0FD6" w:rsidRPr="00134D73">
        <w:rPr>
          <w:bCs/>
          <w:color w:val="000000" w:themeColor="text1"/>
          <w:lang w:val="en-GB"/>
        </w:rPr>
        <w:t>Pantović</w:t>
      </w:r>
      <w:proofErr w:type="spellEnd"/>
      <w:r w:rsidRPr="00134D73">
        <w:rPr>
          <w:color w:val="000000" w:themeColor="text1"/>
        </w:rPr>
        <w:t>.</w:t>
      </w:r>
      <w:r w:rsidR="009D0FD6" w:rsidRPr="00134D73">
        <w:rPr>
          <w:color w:val="000000" w:themeColor="text1"/>
        </w:rPr>
        <w:t xml:space="preserve"> With r</w:t>
      </w:r>
      <w:r w:rsidR="00AB2ED0" w:rsidRPr="00134D73">
        <w:rPr>
          <w:color w:val="000000" w:themeColor="text1"/>
        </w:rPr>
        <w:t xml:space="preserve">espect to Mr </w:t>
      </w:r>
      <w:proofErr w:type="spellStart"/>
      <w:r w:rsidR="00AB2ED0" w:rsidRPr="00134D73">
        <w:rPr>
          <w:color w:val="000000" w:themeColor="text1"/>
        </w:rPr>
        <w:t>Milić</w:t>
      </w:r>
      <w:proofErr w:type="spellEnd"/>
      <w:r w:rsidR="00153D95" w:rsidRPr="00134D73">
        <w:rPr>
          <w:color w:val="000000" w:themeColor="text1"/>
        </w:rPr>
        <w:t xml:space="preserve"> </w:t>
      </w:r>
      <w:proofErr w:type="spellStart"/>
      <w:r w:rsidR="00153D95" w:rsidRPr="00134D73">
        <w:rPr>
          <w:color w:val="000000" w:themeColor="text1"/>
        </w:rPr>
        <w:t>Pantović</w:t>
      </w:r>
      <w:proofErr w:type="spellEnd"/>
      <w:r w:rsidR="009D0FD6" w:rsidRPr="00134D73">
        <w:rPr>
          <w:color w:val="000000" w:themeColor="text1"/>
        </w:rPr>
        <w:t xml:space="preserve"> there was only one contact made with one of his sisters, Ms D.P., with respect to identification of </w:t>
      </w:r>
      <w:r w:rsidR="00153D95" w:rsidRPr="00134D73">
        <w:rPr>
          <w:color w:val="000000" w:themeColor="text1"/>
        </w:rPr>
        <w:t xml:space="preserve">items </w:t>
      </w:r>
      <w:r w:rsidR="009D0FD6" w:rsidRPr="00134D73">
        <w:rPr>
          <w:color w:val="000000" w:themeColor="text1"/>
        </w:rPr>
        <w:t xml:space="preserve">and collection of blood samples, but nothing with respect to an investigation identifying the perpetrators. With respect to Mrs </w:t>
      </w:r>
      <w:proofErr w:type="spellStart"/>
      <w:r w:rsidR="009D0FD6" w:rsidRPr="00134D73">
        <w:rPr>
          <w:color w:val="000000" w:themeColor="text1"/>
        </w:rPr>
        <w:t>Slavka</w:t>
      </w:r>
      <w:proofErr w:type="spellEnd"/>
      <w:r w:rsidR="009D0FD6" w:rsidRPr="00134D73">
        <w:rPr>
          <w:color w:val="000000" w:themeColor="text1"/>
        </w:rPr>
        <w:t xml:space="preserve"> </w:t>
      </w:r>
      <w:proofErr w:type="spellStart"/>
      <w:r w:rsidR="009D0FD6" w:rsidRPr="00134D73">
        <w:rPr>
          <w:color w:val="000000" w:themeColor="text1"/>
        </w:rPr>
        <w:t>Pantović</w:t>
      </w:r>
      <w:proofErr w:type="spellEnd"/>
      <w:r w:rsidR="009D0FD6" w:rsidRPr="00134D73">
        <w:rPr>
          <w:color w:val="000000" w:themeColor="text1"/>
        </w:rPr>
        <w:t xml:space="preserve"> there was only one contact made to gather further information.</w:t>
      </w:r>
      <w:r w:rsidRPr="00134D73">
        <w:rPr>
          <w:color w:val="000000" w:themeColor="text1"/>
        </w:rPr>
        <w:t xml:space="preserve"> </w:t>
      </w:r>
      <w:r w:rsidR="00F45FF7" w:rsidRPr="00134D73">
        <w:rPr>
          <w:lang w:val="en-GB"/>
        </w:rPr>
        <w:t>T</w:t>
      </w:r>
      <w:r w:rsidR="00F45FF7" w:rsidRPr="00134D73">
        <w:t xml:space="preserve">he </w:t>
      </w:r>
      <w:r w:rsidR="00FE1A3E" w:rsidRPr="00134D73">
        <w:t>P</w:t>
      </w:r>
      <w:r w:rsidR="00F45FF7" w:rsidRPr="00134D73">
        <w:t xml:space="preserve">anel notes Mrs </w:t>
      </w:r>
      <w:proofErr w:type="spellStart"/>
      <w:r w:rsidR="00F45FF7" w:rsidRPr="00134D73">
        <w:t>Slavka</w:t>
      </w:r>
      <w:proofErr w:type="spellEnd"/>
      <w:r w:rsidR="00F45FF7" w:rsidRPr="00134D73">
        <w:t xml:space="preserve"> </w:t>
      </w:r>
      <w:proofErr w:type="spellStart"/>
      <w:r w:rsidR="00F45FF7" w:rsidRPr="00134D73">
        <w:t>Pantović’s</w:t>
      </w:r>
      <w:proofErr w:type="spellEnd"/>
      <w:r w:rsidR="00F45FF7" w:rsidRPr="00134D73">
        <w:t xml:space="preserve"> expressed dissatisfaction </w:t>
      </w:r>
      <w:r w:rsidR="000477EB" w:rsidRPr="00134D73">
        <w:t xml:space="preserve">about having made </w:t>
      </w:r>
      <w:r w:rsidR="00A11A8F" w:rsidRPr="00134D73">
        <w:t xml:space="preserve">repeated </w:t>
      </w:r>
      <w:r w:rsidR="00F45FF7" w:rsidRPr="00134D73">
        <w:t xml:space="preserve">statements </w:t>
      </w:r>
      <w:r w:rsidR="00153D95" w:rsidRPr="00134D73">
        <w:t>to many organis</w:t>
      </w:r>
      <w:r w:rsidR="00A11A8F" w:rsidRPr="00134D73">
        <w:t xml:space="preserve">ations </w:t>
      </w:r>
      <w:r w:rsidR="005F096E" w:rsidRPr="00134D73">
        <w:t>and considers that this</w:t>
      </w:r>
      <w:r w:rsidR="00F45FF7" w:rsidRPr="00134D73">
        <w:t xml:space="preserve"> adds to the</w:t>
      </w:r>
      <w:r w:rsidR="005F096E" w:rsidRPr="00134D73">
        <w:t xml:space="preserve"> complainant’s</w:t>
      </w:r>
      <w:r w:rsidR="00F45FF7" w:rsidRPr="00134D73">
        <w:t xml:space="preserve"> suffering and frustration</w:t>
      </w:r>
      <w:r w:rsidR="000C0B29" w:rsidRPr="00134D73">
        <w:t xml:space="preserve"> (see § </w:t>
      </w:r>
      <w:r w:rsidR="00161CC5" w:rsidRPr="00134D73">
        <w:fldChar w:fldCharType="begin"/>
      </w:r>
      <w:r w:rsidR="00161CC5" w:rsidRPr="00134D73">
        <w:instrText xml:space="preserve"> REF _Ref418695825 \r \h  \* MERGEFORMAT </w:instrText>
      </w:r>
      <w:r w:rsidR="00161CC5" w:rsidRPr="00134D73">
        <w:fldChar w:fldCharType="separate"/>
      </w:r>
      <w:r w:rsidR="00AB2ED0" w:rsidRPr="00134D73">
        <w:t>40</w:t>
      </w:r>
      <w:r w:rsidR="00161CC5" w:rsidRPr="00134D73">
        <w:fldChar w:fldCharType="end"/>
      </w:r>
      <w:r w:rsidR="00161CC5" w:rsidRPr="00134D73">
        <w:t xml:space="preserve"> </w:t>
      </w:r>
      <w:r w:rsidR="000C0B29" w:rsidRPr="00134D73">
        <w:t>above)</w:t>
      </w:r>
      <w:r w:rsidR="00F45FF7" w:rsidRPr="00134D73">
        <w:t xml:space="preserve">. </w:t>
      </w:r>
    </w:p>
    <w:p w:rsidR="00153D95" w:rsidRPr="00134D73" w:rsidRDefault="00153D95" w:rsidP="00153D95">
      <w:pPr>
        <w:tabs>
          <w:tab w:val="left" w:pos="709"/>
        </w:tabs>
        <w:suppressAutoHyphens/>
        <w:autoSpaceDE w:val="0"/>
        <w:jc w:val="both"/>
        <w:rPr>
          <w:color w:val="000000" w:themeColor="text1"/>
          <w:lang w:val="en-GB"/>
        </w:rPr>
      </w:pPr>
    </w:p>
    <w:p w:rsidR="00711F6E" w:rsidRPr="00134D73" w:rsidRDefault="00711F6E" w:rsidP="00F45FF7">
      <w:pPr>
        <w:numPr>
          <w:ilvl w:val="0"/>
          <w:numId w:val="2"/>
        </w:numPr>
        <w:tabs>
          <w:tab w:val="left" w:pos="709"/>
        </w:tabs>
        <w:suppressAutoHyphens/>
        <w:autoSpaceDE w:val="0"/>
        <w:ind w:left="450" w:hanging="450"/>
        <w:jc w:val="both"/>
        <w:rPr>
          <w:color w:val="000000" w:themeColor="text1"/>
          <w:lang w:val="en-GB"/>
        </w:rPr>
      </w:pPr>
      <w:r w:rsidRPr="00134D73">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to find out what happened to </w:t>
      </w:r>
      <w:r w:rsidR="009D0FD6" w:rsidRPr="00134D73">
        <w:rPr>
          <w:color w:val="000000" w:themeColor="text1"/>
          <w:lang w:val="en-GB"/>
        </w:rPr>
        <w:t>his relatives</w:t>
      </w:r>
      <w:r w:rsidRPr="00134D73">
        <w:rPr>
          <w:color w:val="000000" w:themeColor="text1"/>
          <w:lang w:val="en-GB"/>
        </w:rPr>
        <w:t xml:space="preserve">. In this respect, it is obvious that, in any situation, the pain of </w:t>
      </w:r>
      <w:r w:rsidR="000D2756" w:rsidRPr="00134D73">
        <w:rPr>
          <w:color w:val="000000" w:themeColor="text1"/>
          <w:lang w:val="en-GB"/>
        </w:rPr>
        <w:t xml:space="preserve">a </w:t>
      </w:r>
      <w:r w:rsidR="009D0FD6" w:rsidRPr="00134D73">
        <w:rPr>
          <w:color w:val="000000" w:themeColor="text1"/>
          <w:lang w:val="en-GB"/>
        </w:rPr>
        <w:t xml:space="preserve">nephew </w:t>
      </w:r>
      <w:r w:rsidRPr="00134D73">
        <w:rPr>
          <w:color w:val="000000" w:themeColor="text1"/>
          <w:lang w:val="en-GB"/>
        </w:rPr>
        <w:t xml:space="preserve">who has to live in uncertainty about the fate of </w:t>
      </w:r>
      <w:r w:rsidR="009D0FD6" w:rsidRPr="00134D73">
        <w:rPr>
          <w:color w:val="000000" w:themeColor="text1"/>
          <w:lang w:val="en-GB"/>
        </w:rPr>
        <w:t xml:space="preserve">his family </w:t>
      </w:r>
      <w:r w:rsidRPr="00134D73">
        <w:rPr>
          <w:color w:val="000000" w:themeColor="text1"/>
          <w:lang w:val="en-GB"/>
        </w:rPr>
        <w:t>must be unbearable.</w:t>
      </w:r>
    </w:p>
    <w:p w:rsidR="00711F6E" w:rsidRPr="00134D73" w:rsidRDefault="00711F6E" w:rsidP="00711F6E">
      <w:pPr>
        <w:pStyle w:val="Default"/>
        <w:tabs>
          <w:tab w:val="left" w:pos="360"/>
          <w:tab w:val="left" w:pos="709"/>
        </w:tabs>
        <w:jc w:val="bot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For the aforementioned reasons, the Panel concludes that, by its behaviour, UNMIK contributed to the complainant’s distress and mental suffering in violation of Article 3 of the ECHR.</w:t>
      </w:r>
    </w:p>
    <w:p w:rsidR="00711F6E" w:rsidRPr="00134D73" w:rsidRDefault="00711F6E" w:rsidP="00711F6E">
      <w:pPr>
        <w:pStyle w:val="Default"/>
        <w:jc w:val="both"/>
        <w:rPr>
          <w:color w:val="000000" w:themeColor="text1"/>
          <w:lang w:val="en-GB"/>
        </w:rPr>
      </w:pPr>
    </w:p>
    <w:p w:rsidR="00711F6E" w:rsidRPr="00134D73" w:rsidRDefault="00711F6E" w:rsidP="00711F6E">
      <w:pPr>
        <w:numPr>
          <w:ilvl w:val="0"/>
          <w:numId w:val="1"/>
        </w:numPr>
        <w:suppressAutoHyphens/>
        <w:autoSpaceDE w:val="0"/>
        <w:ind w:left="360" w:hanging="360"/>
        <w:jc w:val="both"/>
        <w:rPr>
          <w:color w:val="000000" w:themeColor="text1"/>
          <w:lang w:val="en-GB"/>
        </w:rPr>
      </w:pPr>
      <w:r w:rsidRPr="00134D73">
        <w:rPr>
          <w:b/>
          <w:color w:val="000000" w:themeColor="text1"/>
          <w:lang w:val="en-GB"/>
        </w:rPr>
        <w:t xml:space="preserve">CONCLUDING </w:t>
      </w:r>
      <w:r w:rsidRPr="00134D73">
        <w:rPr>
          <w:b/>
          <w:bCs/>
          <w:color w:val="000000" w:themeColor="text1"/>
          <w:lang w:val="en-GB"/>
        </w:rPr>
        <w:t>COMMENTS</w:t>
      </w:r>
      <w:r w:rsidRPr="00134D73">
        <w:rPr>
          <w:b/>
          <w:color w:val="000000" w:themeColor="text1"/>
          <w:lang w:val="en-GB"/>
        </w:rPr>
        <w:t xml:space="preserve"> AND RECOMMENDATIONS</w:t>
      </w:r>
    </w:p>
    <w:p w:rsidR="00711F6E" w:rsidRPr="00134D73" w:rsidRDefault="00711F6E" w:rsidP="00711F6E">
      <w:pPr>
        <w:pStyle w:val="ListParagraph"/>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134D73">
        <w:rPr>
          <w:color w:val="000000" w:themeColor="text1"/>
          <w:lang w:val="en-GB"/>
        </w:rPr>
        <w:t>In light of the Panel’s findings in this case, the Panel is of the opinion that some form of reparation is necessary.</w:t>
      </w:r>
    </w:p>
    <w:p w:rsidR="00711F6E" w:rsidRPr="00134D73"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134D73">
        <w:rPr>
          <w:color w:val="000000" w:themeColor="text1"/>
          <w:lang w:val="en-GB"/>
        </w:rPr>
        <w:lastRenderedPageBreak/>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1F0511" w:rsidRPr="00134D73">
        <w:rPr>
          <w:lang w:val="en-GB"/>
        </w:rPr>
        <w:t>disappearance</w:t>
      </w:r>
      <w:r w:rsidR="00AD7F08" w:rsidRPr="00134D73">
        <w:rPr>
          <w:lang w:val="en-GB"/>
        </w:rPr>
        <w:t xml:space="preserve"> of </w:t>
      </w:r>
      <w:r w:rsidR="009D0FD6" w:rsidRPr="00134D73">
        <w:rPr>
          <w:lang w:val="en-GB"/>
        </w:rPr>
        <w:t xml:space="preserve">Mrs </w:t>
      </w:r>
      <w:proofErr w:type="spellStart"/>
      <w:r w:rsidR="009D0FD6" w:rsidRPr="00134D73">
        <w:rPr>
          <w:lang w:val="en-GB"/>
        </w:rPr>
        <w:t>Slavka</w:t>
      </w:r>
      <w:proofErr w:type="spellEnd"/>
      <w:r w:rsidR="009D0FD6" w:rsidRPr="00134D73">
        <w:rPr>
          <w:lang w:val="en-GB"/>
        </w:rPr>
        <w:t xml:space="preserve"> </w:t>
      </w:r>
      <w:proofErr w:type="spellStart"/>
      <w:r w:rsidR="009D0FD6" w:rsidRPr="00134D73">
        <w:rPr>
          <w:lang w:val="en-GB"/>
        </w:rPr>
        <w:t>Pantović</w:t>
      </w:r>
      <w:proofErr w:type="spellEnd"/>
      <w:r w:rsidR="009D0FD6" w:rsidRPr="00134D73">
        <w:rPr>
          <w:lang w:val="en-GB"/>
        </w:rPr>
        <w:t xml:space="preserve">, Mr </w:t>
      </w:r>
      <w:proofErr w:type="spellStart"/>
      <w:r w:rsidR="009D0FD6" w:rsidRPr="00134D73">
        <w:rPr>
          <w:lang w:val="en-GB"/>
        </w:rPr>
        <w:t>Milić</w:t>
      </w:r>
      <w:proofErr w:type="spellEnd"/>
      <w:r w:rsidR="009D0FD6" w:rsidRPr="00134D73">
        <w:rPr>
          <w:lang w:val="en-GB"/>
        </w:rPr>
        <w:t xml:space="preserve"> </w:t>
      </w:r>
      <w:proofErr w:type="spellStart"/>
      <w:r w:rsidR="009D0FD6" w:rsidRPr="00134D73">
        <w:rPr>
          <w:lang w:val="en-GB"/>
        </w:rPr>
        <w:t>Pantović</w:t>
      </w:r>
      <w:proofErr w:type="spellEnd"/>
      <w:r w:rsidR="009D0FD6" w:rsidRPr="00134D73">
        <w:rPr>
          <w:lang w:val="en-GB"/>
        </w:rPr>
        <w:t xml:space="preserve"> and Mrs </w:t>
      </w:r>
      <w:proofErr w:type="spellStart"/>
      <w:r w:rsidR="009D0FD6" w:rsidRPr="00134D73">
        <w:rPr>
          <w:lang w:val="en-GB"/>
        </w:rPr>
        <w:t>Mileva</w:t>
      </w:r>
      <w:proofErr w:type="spellEnd"/>
      <w:r w:rsidR="009D0FD6" w:rsidRPr="00134D73">
        <w:rPr>
          <w:lang w:val="en-GB"/>
        </w:rPr>
        <w:t xml:space="preserve"> </w:t>
      </w:r>
      <w:proofErr w:type="spellStart"/>
      <w:r w:rsidR="009D0FD6" w:rsidRPr="00134D73">
        <w:rPr>
          <w:lang w:val="en-GB"/>
        </w:rPr>
        <w:t>Pantović</w:t>
      </w:r>
      <w:proofErr w:type="spellEnd"/>
      <w:r w:rsidR="009D0FD6" w:rsidRPr="00134D73">
        <w:rPr>
          <w:color w:val="000000" w:themeColor="text1"/>
        </w:rPr>
        <w:t>,</w:t>
      </w:r>
      <w:r w:rsidRPr="00134D73">
        <w:rPr>
          <w:color w:val="000000" w:themeColor="text1"/>
          <w:lang w:val="en-GB"/>
        </w:rPr>
        <w:t xml:space="preserve"> and that its failure to do so constitutes a further serious violat</w:t>
      </w:r>
      <w:r w:rsidR="000D2756" w:rsidRPr="00134D73">
        <w:rPr>
          <w:color w:val="000000" w:themeColor="text1"/>
          <w:lang w:val="en-GB"/>
        </w:rPr>
        <w:t>ion of the rights of the victim and her</w:t>
      </w:r>
      <w:r w:rsidRPr="00134D73">
        <w:rPr>
          <w:color w:val="000000" w:themeColor="text1"/>
          <w:lang w:val="en-GB"/>
        </w:rPr>
        <w:t xml:space="preserve"> next-of-kin, in particular the right to have the truth of the matter determined. </w:t>
      </w:r>
    </w:p>
    <w:p w:rsidR="00711F6E" w:rsidRPr="00134D73"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134D73">
        <w:rPr>
          <w:bCs/>
          <w:color w:val="000000" w:themeColor="text1"/>
          <w:lang w:val="en-GB"/>
        </w:rPr>
        <w:t xml:space="preserve">The </w:t>
      </w:r>
      <w:r w:rsidRPr="00134D73">
        <w:rPr>
          <w:color w:val="000000" w:themeColor="text1"/>
          <w:lang w:val="en-GB"/>
        </w:rPr>
        <w:t>Panel</w:t>
      </w:r>
      <w:r w:rsidRPr="00134D73">
        <w:rPr>
          <w:bCs/>
          <w:color w:val="000000" w:themeColor="text1"/>
          <w:lang w:val="en-GB"/>
        </w:rPr>
        <w:t xml:space="preserve"> </w:t>
      </w:r>
      <w:r w:rsidRPr="00134D73">
        <w:rPr>
          <w:color w:val="000000" w:themeColor="text1"/>
          <w:lang w:val="en-GB"/>
        </w:rPr>
        <w:t>notes</w:t>
      </w:r>
      <w:r w:rsidRPr="00134D73">
        <w:rPr>
          <w:bCs/>
          <w:color w:val="000000" w:themeColor="text1"/>
          <w:lang w:val="en-GB"/>
        </w:rPr>
        <w:t xml:space="preserve"> the SRSG’s own concerns that the inadequate resources, especially at the outset of </w:t>
      </w:r>
      <w:r w:rsidRPr="00134D73">
        <w:rPr>
          <w:color w:val="000000" w:themeColor="text1"/>
          <w:lang w:val="en-GB"/>
        </w:rPr>
        <w:t>UNMIK’s</w:t>
      </w:r>
      <w:r w:rsidRPr="00134D73">
        <w:rPr>
          <w:bCs/>
          <w:color w:val="000000" w:themeColor="text1"/>
          <w:lang w:val="en-GB"/>
        </w:rPr>
        <w:t xml:space="preserve"> mission, made compliance with UNMIK’s human rights obligations difficult to achieve.</w:t>
      </w:r>
    </w:p>
    <w:p w:rsidR="00711F6E" w:rsidRPr="00134D73" w:rsidRDefault="00711F6E" w:rsidP="00711F6E">
      <w:pPr>
        <w:pStyle w:val="ListParagraph"/>
        <w:tabs>
          <w:tab w:val="num" w:pos="450"/>
        </w:tabs>
        <w:ind w:left="450" w:hanging="450"/>
        <w:rPr>
          <w:color w:val="000000" w:themeColor="text1"/>
          <w:lang w:val="en-GB"/>
        </w:rPr>
      </w:pPr>
    </w:p>
    <w:p w:rsidR="00711F6E" w:rsidRPr="00134D73"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134D73">
        <w:rPr>
          <w:color w:val="000000" w:themeColor="text1"/>
          <w:lang w:val="en-GB"/>
        </w:rPr>
        <w:t xml:space="preserve">It </w:t>
      </w:r>
      <w:r w:rsidRPr="00134D73">
        <w:rPr>
          <w:bCs/>
          <w:color w:val="000000" w:themeColor="text1"/>
          <w:lang w:val="en-GB"/>
        </w:rPr>
        <w:t>would</w:t>
      </w:r>
      <w:r w:rsidRPr="00134D73">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134D73">
        <w:fldChar w:fldCharType="begin"/>
      </w:r>
      <w:r w:rsidR="000D2756" w:rsidRPr="00134D73">
        <w:rPr>
          <w:color w:val="000000" w:themeColor="text1"/>
          <w:lang w:val="en-GB"/>
        </w:rPr>
        <w:instrText xml:space="preserve"> REF _Ref346123927 \r \h </w:instrText>
      </w:r>
      <w:r w:rsidR="000D2756" w:rsidRPr="00134D73">
        <w:instrText xml:space="preserve"> \* MERGEFORMAT </w:instrText>
      </w:r>
      <w:r w:rsidR="000D2756" w:rsidRPr="00134D73">
        <w:fldChar w:fldCharType="separate"/>
      </w:r>
      <w:r w:rsidR="00AB2ED0" w:rsidRPr="00134D73">
        <w:rPr>
          <w:color w:val="000000" w:themeColor="text1"/>
          <w:lang w:val="en-GB"/>
        </w:rPr>
        <w:t>20</w:t>
      </w:r>
      <w:r w:rsidR="000D2756" w:rsidRPr="00134D73">
        <w:fldChar w:fldCharType="end"/>
      </w:r>
      <w:r w:rsidRPr="00134D73">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134D73">
        <w:rPr>
          <w:bCs/>
          <w:color w:val="000000" w:themeColor="text1"/>
          <w:lang w:val="en-GB"/>
        </w:rPr>
        <w:t>human</w:t>
      </w:r>
      <w:r w:rsidRPr="00134D73">
        <w:rPr>
          <w:color w:val="000000" w:themeColor="text1"/>
          <w:lang w:val="en-GB"/>
        </w:rPr>
        <w:t xml:space="preserve"> rights law.  </w:t>
      </w:r>
    </w:p>
    <w:p w:rsidR="00711F6E" w:rsidRPr="00134D73" w:rsidRDefault="00711F6E" w:rsidP="00711F6E">
      <w:pPr>
        <w:pStyle w:val="ListParagrap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134D73">
        <w:rPr>
          <w:color w:val="000000" w:themeColor="text1"/>
          <w:lang w:val="en-GB"/>
        </w:rPr>
        <w:t xml:space="preserve">The Panel considers that this </w:t>
      </w:r>
      <w:r w:rsidRPr="00134D73">
        <w:rPr>
          <w:bCs/>
          <w:color w:val="000000" w:themeColor="text1"/>
          <w:lang w:val="en-GB"/>
        </w:rPr>
        <w:t>factual</w:t>
      </w:r>
      <w:r w:rsidRPr="00E879A0">
        <w:rPr>
          <w:color w:val="000000" w:themeColor="text1"/>
          <w:lang w:val="en-GB"/>
        </w:rPr>
        <w:t xml:space="preserve"> situation does not relieve UNMIK from its obligation to redress as far as possible the effects of the violations for which it is responsible. </w:t>
      </w:r>
    </w:p>
    <w:p w:rsidR="00711F6E" w:rsidRPr="00E879A0" w:rsidRDefault="00711F6E" w:rsidP="00711F6E">
      <w:pPr>
        <w:pStyle w:val="ListParagraph"/>
        <w:rPr>
          <w:b/>
          <w:bCs/>
          <w:color w:val="000000" w:themeColor="text1"/>
          <w:lang w:val="en-GB"/>
        </w:rPr>
      </w:pPr>
    </w:p>
    <w:p w:rsidR="00711F6E" w:rsidRPr="00134D73" w:rsidRDefault="00711F6E" w:rsidP="00711F6E">
      <w:pPr>
        <w:suppressAutoHyphens/>
        <w:autoSpaceDE w:val="0"/>
        <w:ind w:left="450"/>
        <w:jc w:val="both"/>
        <w:rPr>
          <w:b/>
          <w:bCs/>
          <w:color w:val="000000" w:themeColor="text1"/>
          <w:lang w:val="en-GB"/>
        </w:rPr>
      </w:pPr>
      <w:r w:rsidRPr="00E879A0">
        <w:rPr>
          <w:b/>
          <w:bCs/>
          <w:color w:val="000000" w:themeColor="text1"/>
          <w:lang w:val="en-GB"/>
        </w:rPr>
        <w:t xml:space="preserve">With respect to </w:t>
      </w:r>
      <w:r w:rsidRPr="00134D73">
        <w:rPr>
          <w:b/>
          <w:bCs/>
          <w:color w:val="000000" w:themeColor="text1"/>
          <w:lang w:val="en-GB"/>
        </w:rPr>
        <w:t>the complainant and the case the Panel considers appropriate that UNMIK:</w:t>
      </w:r>
    </w:p>
    <w:p w:rsidR="00711F6E" w:rsidRPr="00134D73" w:rsidRDefault="00711F6E" w:rsidP="00711F6E">
      <w:pPr>
        <w:pStyle w:val="ListParagraph"/>
        <w:rPr>
          <w:b/>
          <w:bCs/>
          <w:color w:val="000000" w:themeColor="text1"/>
          <w:lang w:val="en-GB"/>
        </w:rPr>
      </w:pPr>
    </w:p>
    <w:p w:rsidR="00711F6E" w:rsidRPr="00134D73" w:rsidRDefault="00711F6E" w:rsidP="00711F6E">
      <w:pPr>
        <w:tabs>
          <w:tab w:val="left" w:pos="900"/>
        </w:tabs>
        <w:suppressAutoHyphens/>
        <w:autoSpaceDE w:val="0"/>
        <w:ind w:left="720" w:hanging="180"/>
        <w:jc w:val="both"/>
        <w:rPr>
          <w:b/>
          <w:bCs/>
          <w:color w:val="000000" w:themeColor="text1"/>
          <w:lang w:val="en-GB"/>
        </w:rPr>
      </w:pPr>
      <w:r w:rsidRPr="00134D73">
        <w:rPr>
          <w:b/>
          <w:color w:val="000000" w:themeColor="text1"/>
          <w:lang w:val="en-GB"/>
        </w:rPr>
        <w:t xml:space="preserve">- </w:t>
      </w:r>
      <w:r w:rsidRPr="00134D73">
        <w:rPr>
          <w:color w:val="000000" w:themeColor="text1"/>
          <w:lang w:val="en-GB"/>
        </w:rPr>
        <w:t xml:space="preserve">In line with the case law of the European Court of Human Rights on situations of limited State jurisdiction (see ECtHR [GC], </w:t>
      </w:r>
      <w:r w:rsidRPr="00134D73">
        <w:rPr>
          <w:i/>
          <w:color w:val="000000" w:themeColor="text1"/>
          <w:lang w:val="en-GB"/>
        </w:rPr>
        <w:t>Ilaşcu and Others v. Moldova and Russia</w:t>
      </w:r>
      <w:r w:rsidRPr="00134D73">
        <w:rPr>
          <w:color w:val="000000" w:themeColor="text1"/>
          <w:lang w:val="en-GB"/>
        </w:rPr>
        <w:t xml:space="preserve">, cited in § </w:t>
      </w:r>
      <w:r w:rsidRPr="00134D73">
        <w:fldChar w:fldCharType="begin"/>
      </w:r>
      <w:r w:rsidRPr="00134D73">
        <w:instrText xml:space="preserve"> REF _Ref401074681 \r \h  \* MERGEFORMAT </w:instrText>
      </w:r>
      <w:r w:rsidRPr="00134D73">
        <w:fldChar w:fldCharType="separate"/>
      </w:r>
      <w:r w:rsidR="00AB2ED0" w:rsidRPr="00134D73">
        <w:rPr>
          <w:color w:val="000000" w:themeColor="text1"/>
          <w:lang w:val="en-GB"/>
        </w:rPr>
        <w:t>131</w:t>
      </w:r>
      <w:r w:rsidRPr="00134D73">
        <w:fldChar w:fldCharType="end"/>
      </w:r>
      <w:r w:rsidRPr="00134D73">
        <w:rPr>
          <w:color w:val="000000" w:themeColor="text1"/>
          <w:lang w:val="en-GB"/>
        </w:rPr>
        <w:t xml:space="preserve"> above, at § 333; ECtHR, </w:t>
      </w:r>
      <w:r w:rsidRPr="00134D73">
        <w:rPr>
          <w:i/>
          <w:color w:val="000000" w:themeColor="text1"/>
          <w:lang w:val="en-GB"/>
        </w:rPr>
        <w:t>Al-Saadoon and Mufdhi v. United Kingdom</w:t>
      </w:r>
      <w:r w:rsidRPr="00134D73">
        <w:rPr>
          <w:color w:val="000000" w:themeColor="text1"/>
          <w:lang w:val="en-GB"/>
        </w:rPr>
        <w:t xml:space="preserve">, no. 61498/08, judgment of 2 March 2010, § 171; ECtHR [GC]), </w:t>
      </w:r>
      <w:r w:rsidRPr="00134D73">
        <w:rPr>
          <w:i/>
          <w:color w:val="000000" w:themeColor="text1"/>
          <w:lang w:val="en-GB"/>
        </w:rPr>
        <w:t>Catan and Others v. Moldova and Russia</w:t>
      </w:r>
      <w:r w:rsidRPr="00134D73">
        <w:rPr>
          <w:color w:val="000000" w:themeColor="text1"/>
          <w:lang w:val="en-GB"/>
        </w:rPr>
        <w:t xml:space="preserve">, nos. 43370/04, 8252/05 and 18454/06, judgment of 19 October 2012, § 109), must endeavour, with all the means available to it </w:t>
      </w:r>
      <w:r w:rsidRPr="00134D73">
        <w:rPr>
          <w:i/>
          <w:color w:val="000000" w:themeColor="text1"/>
          <w:lang w:val="en-GB"/>
        </w:rPr>
        <w:t>vis-à-vis</w:t>
      </w:r>
      <w:r w:rsidRPr="00134D73">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134D73">
        <w:rPr>
          <w:bCs/>
          <w:color w:val="000000" w:themeColor="text1"/>
          <w:lang w:val="en-GB"/>
        </w:rPr>
        <w:t xml:space="preserve">the </w:t>
      </w:r>
      <w:r w:rsidR="001F0511" w:rsidRPr="00134D73">
        <w:rPr>
          <w:lang w:val="en-GB"/>
        </w:rPr>
        <w:t>disappearance</w:t>
      </w:r>
      <w:r w:rsidR="00AD7F08" w:rsidRPr="00134D73">
        <w:rPr>
          <w:lang w:val="en-GB"/>
        </w:rPr>
        <w:t xml:space="preserve"> </w:t>
      </w:r>
      <w:r w:rsidR="009D0FD6" w:rsidRPr="00134D73">
        <w:rPr>
          <w:lang w:val="en-GB"/>
        </w:rPr>
        <w:t xml:space="preserve">of Mrs </w:t>
      </w:r>
      <w:proofErr w:type="spellStart"/>
      <w:r w:rsidR="009D0FD6" w:rsidRPr="00134D73">
        <w:rPr>
          <w:lang w:val="en-GB"/>
        </w:rPr>
        <w:t>Slavka</w:t>
      </w:r>
      <w:proofErr w:type="spellEnd"/>
      <w:r w:rsidR="009D0FD6" w:rsidRPr="00134D73">
        <w:rPr>
          <w:lang w:val="en-GB"/>
        </w:rPr>
        <w:t xml:space="preserve"> </w:t>
      </w:r>
      <w:proofErr w:type="spellStart"/>
      <w:r w:rsidR="009D0FD6" w:rsidRPr="00134D73">
        <w:rPr>
          <w:lang w:val="en-GB"/>
        </w:rPr>
        <w:t>Pantović</w:t>
      </w:r>
      <w:proofErr w:type="spellEnd"/>
      <w:r w:rsidR="009D0FD6" w:rsidRPr="00134D73">
        <w:rPr>
          <w:lang w:val="en-GB"/>
        </w:rPr>
        <w:t xml:space="preserve">, Mr </w:t>
      </w:r>
      <w:proofErr w:type="spellStart"/>
      <w:r w:rsidR="009D0FD6" w:rsidRPr="00134D73">
        <w:rPr>
          <w:lang w:val="en-GB"/>
        </w:rPr>
        <w:t>Milić</w:t>
      </w:r>
      <w:proofErr w:type="spellEnd"/>
      <w:r w:rsidR="009D0FD6" w:rsidRPr="00134D73">
        <w:rPr>
          <w:lang w:val="en-GB"/>
        </w:rPr>
        <w:t xml:space="preserve"> </w:t>
      </w:r>
      <w:proofErr w:type="spellStart"/>
      <w:r w:rsidR="009D0FD6" w:rsidRPr="00134D73">
        <w:rPr>
          <w:lang w:val="en-GB"/>
        </w:rPr>
        <w:t>Pantović</w:t>
      </w:r>
      <w:proofErr w:type="spellEnd"/>
      <w:r w:rsidR="009D0FD6" w:rsidRPr="00134D73">
        <w:rPr>
          <w:lang w:val="en-GB"/>
        </w:rPr>
        <w:t xml:space="preserve"> and Mrs </w:t>
      </w:r>
      <w:proofErr w:type="spellStart"/>
      <w:r w:rsidR="009D0FD6" w:rsidRPr="00134D73">
        <w:rPr>
          <w:lang w:val="en-GB"/>
        </w:rPr>
        <w:t>Mileva</w:t>
      </w:r>
      <w:proofErr w:type="spellEnd"/>
      <w:r w:rsidR="009D0FD6" w:rsidRPr="00134D73">
        <w:rPr>
          <w:lang w:val="en-GB"/>
        </w:rPr>
        <w:t xml:space="preserve"> </w:t>
      </w:r>
      <w:proofErr w:type="spellStart"/>
      <w:r w:rsidR="009D0FD6" w:rsidRPr="00134D73">
        <w:rPr>
          <w:lang w:val="en-GB"/>
        </w:rPr>
        <w:t>Pantović</w:t>
      </w:r>
      <w:proofErr w:type="spellEnd"/>
      <w:r w:rsidR="009D0FD6" w:rsidRPr="00134D73">
        <w:rPr>
          <w:color w:val="000000" w:themeColor="text1"/>
        </w:rPr>
        <w:t xml:space="preserve">, </w:t>
      </w:r>
      <w:r w:rsidR="009D0FD6" w:rsidRPr="00134D73">
        <w:rPr>
          <w:lang w:val="en-GB"/>
        </w:rPr>
        <w:t xml:space="preserve">will </w:t>
      </w:r>
      <w:r w:rsidRPr="00134D73">
        <w:rPr>
          <w:color w:val="000000" w:themeColor="text1"/>
          <w:lang w:val="en-GB"/>
        </w:rPr>
        <w:t>be established and that the possible perpetrators will be brought to justice. The complainant and/or other next-of-kin shall be informed of such proceedings and relevant documents shall be disclosed to them, as necessary;</w:t>
      </w:r>
    </w:p>
    <w:p w:rsidR="00711F6E" w:rsidRPr="00134D73" w:rsidRDefault="00711F6E" w:rsidP="00711F6E">
      <w:pPr>
        <w:suppressAutoHyphens/>
        <w:autoSpaceDE w:val="0"/>
        <w:ind w:left="426"/>
        <w:jc w:val="both"/>
        <w:rPr>
          <w:b/>
          <w:bCs/>
          <w:color w:val="000000" w:themeColor="text1"/>
          <w:lang w:val="en-GB"/>
        </w:rPr>
      </w:pPr>
    </w:p>
    <w:p w:rsidR="00711F6E" w:rsidRPr="00134D73" w:rsidRDefault="00711F6E" w:rsidP="00711F6E">
      <w:pPr>
        <w:tabs>
          <w:tab w:val="left" w:pos="900"/>
        </w:tabs>
        <w:suppressAutoHyphens/>
        <w:autoSpaceDE w:val="0"/>
        <w:ind w:left="720" w:hanging="180"/>
        <w:jc w:val="both"/>
        <w:rPr>
          <w:bCs/>
          <w:color w:val="000000" w:themeColor="text1"/>
          <w:lang w:val="en-GB"/>
        </w:rPr>
      </w:pPr>
      <w:r w:rsidRPr="00134D73">
        <w:rPr>
          <w:b/>
          <w:bCs/>
          <w:color w:val="000000" w:themeColor="text1"/>
          <w:lang w:val="en-GB"/>
        </w:rPr>
        <w:t xml:space="preserve">- </w:t>
      </w:r>
      <w:r w:rsidRPr="00134D73">
        <w:rPr>
          <w:bCs/>
          <w:color w:val="000000" w:themeColor="text1"/>
          <w:lang w:val="en-GB"/>
        </w:rPr>
        <w:t xml:space="preserve">Publicly </w:t>
      </w:r>
      <w:r w:rsidRPr="00134D73">
        <w:rPr>
          <w:color w:val="000000" w:themeColor="text1"/>
          <w:lang w:val="en-GB"/>
        </w:rPr>
        <w:t>acknowledges</w:t>
      </w:r>
      <w:r w:rsidRPr="00134D73">
        <w:rPr>
          <w:bCs/>
          <w:color w:val="000000" w:themeColor="text1"/>
          <w:lang w:val="en-GB"/>
        </w:rPr>
        <w:t>, including through media</w:t>
      </w:r>
      <w:r w:rsidR="009D0FD6" w:rsidRPr="00134D73">
        <w:rPr>
          <w:bCs/>
          <w:color w:val="000000" w:themeColor="text1"/>
          <w:lang w:val="en-GB"/>
        </w:rPr>
        <w:t>,</w:t>
      </w:r>
      <w:r w:rsidRPr="00134D73">
        <w:rPr>
          <w:color w:val="000000" w:themeColor="text1"/>
          <w:lang w:val="en-GB"/>
        </w:rPr>
        <w:t xml:space="preserve"> within</w:t>
      </w:r>
      <w:r w:rsidRPr="00134D73">
        <w:rPr>
          <w:bCs/>
          <w:color w:val="000000" w:themeColor="text1"/>
          <w:lang w:val="en-GB"/>
        </w:rPr>
        <w:t xml:space="preserve"> a reasonable time, responsibility with respect to UNMIK’s </w:t>
      </w:r>
      <w:r w:rsidRPr="00134D73">
        <w:rPr>
          <w:color w:val="000000" w:themeColor="text1"/>
          <w:lang w:val="en-GB"/>
        </w:rPr>
        <w:t>failure</w:t>
      </w:r>
      <w:r w:rsidRPr="00134D73">
        <w:rPr>
          <w:bCs/>
          <w:color w:val="000000" w:themeColor="text1"/>
          <w:lang w:val="en-GB"/>
        </w:rPr>
        <w:t xml:space="preserve"> to adequately investigate the </w:t>
      </w:r>
      <w:r w:rsidR="001F0511" w:rsidRPr="00134D73">
        <w:rPr>
          <w:lang w:val="en-GB"/>
        </w:rPr>
        <w:t>disappearance</w:t>
      </w:r>
      <w:r w:rsidR="009D0FD6" w:rsidRPr="00134D73">
        <w:rPr>
          <w:lang w:val="en-GB"/>
        </w:rPr>
        <w:t xml:space="preserve"> </w:t>
      </w:r>
      <w:r w:rsidR="00AD7F08" w:rsidRPr="00134D73">
        <w:rPr>
          <w:lang w:val="en-GB"/>
        </w:rPr>
        <w:t xml:space="preserve">of </w:t>
      </w:r>
      <w:r w:rsidR="009D0FD6" w:rsidRPr="00134D73">
        <w:rPr>
          <w:lang w:val="en-GB"/>
        </w:rPr>
        <w:t xml:space="preserve">Mrs </w:t>
      </w:r>
      <w:proofErr w:type="spellStart"/>
      <w:r w:rsidR="009D0FD6" w:rsidRPr="00134D73">
        <w:rPr>
          <w:lang w:val="en-GB"/>
        </w:rPr>
        <w:lastRenderedPageBreak/>
        <w:t>Slavka</w:t>
      </w:r>
      <w:proofErr w:type="spellEnd"/>
      <w:r w:rsidR="009D0FD6" w:rsidRPr="00134D73">
        <w:rPr>
          <w:lang w:val="en-GB"/>
        </w:rPr>
        <w:t xml:space="preserve"> </w:t>
      </w:r>
      <w:proofErr w:type="spellStart"/>
      <w:r w:rsidR="009D0FD6" w:rsidRPr="00134D73">
        <w:rPr>
          <w:lang w:val="en-GB"/>
        </w:rPr>
        <w:t>Pantović</w:t>
      </w:r>
      <w:proofErr w:type="spellEnd"/>
      <w:r w:rsidR="009D0FD6" w:rsidRPr="00134D73">
        <w:rPr>
          <w:lang w:val="en-GB"/>
        </w:rPr>
        <w:t xml:space="preserve">, Mr </w:t>
      </w:r>
      <w:proofErr w:type="spellStart"/>
      <w:r w:rsidR="009D0FD6" w:rsidRPr="00134D73">
        <w:rPr>
          <w:lang w:val="en-GB"/>
        </w:rPr>
        <w:t>Milić</w:t>
      </w:r>
      <w:proofErr w:type="spellEnd"/>
      <w:r w:rsidR="009D0FD6" w:rsidRPr="00134D73">
        <w:rPr>
          <w:lang w:val="en-GB"/>
        </w:rPr>
        <w:t xml:space="preserve"> </w:t>
      </w:r>
      <w:proofErr w:type="spellStart"/>
      <w:r w:rsidR="009D0FD6" w:rsidRPr="00134D73">
        <w:rPr>
          <w:lang w:val="en-GB"/>
        </w:rPr>
        <w:t>Pantović</w:t>
      </w:r>
      <w:proofErr w:type="spellEnd"/>
      <w:r w:rsidR="009D0FD6" w:rsidRPr="00134D73">
        <w:rPr>
          <w:lang w:val="en-GB"/>
        </w:rPr>
        <w:t xml:space="preserve"> and Mrs </w:t>
      </w:r>
      <w:proofErr w:type="spellStart"/>
      <w:r w:rsidR="009D0FD6" w:rsidRPr="00134D73">
        <w:rPr>
          <w:lang w:val="en-GB"/>
        </w:rPr>
        <w:t>Mileva</w:t>
      </w:r>
      <w:proofErr w:type="spellEnd"/>
      <w:r w:rsidR="009D0FD6" w:rsidRPr="00134D73">
        <w:rPr>
          <w:lang w:val="en-GB"/>
        </w:rPr>
        <w:t xml:space="preserve"> </w:t>
      </w:r>
      <w:proofErr w:type="spellStart"/>
      <w:r w:rsidR="009D0FD6" w:rsidRPr="00134D73">
        <w:rPr>
          <w:lang w:val="en-GB"/>
        </w:rPr>
        <w:t>Pantović</w:t>
      </w:r>
      <w:proofErr w:type="spellEnd"/>
      <w:r w:rsidR="009D0FD6" w:rsidRPr="00134D73">
        <w:rPr>
          <w:color w:val="000000" w:themeColor="text1"/>
        </w:rPr>
        <w:t xml:space="preserve">, </w:t>
      </w:r>
      <w:r w:rsidRPr="00134D73">
        <w:rPr>
          <w:bCs/>
          <w:color w:val="000000" w:themeColor="text1"/>
          <w:lang w:val="en-GB"/>
        </w:rPr>
        <w:t xml:space="preserve">as </w:t>
      </w:r>
      <w:r w:rsidRPr="00134D73">
        <w:rPr>
          <w:color w:val="000000" w:themeColor="text1"/>
          <w:lang w:val="en-GB"/>
        </w:rPr>
        <w:t>well</w:t>
      </w:r>
      <w:r w:rsidRPr="00134D73">
        <w:rPr>
          <w:bCs/>
          <w:color w:val="000000" w:themeColor="text1"/>
          <w:lang w:val="en-GB"/>
        </w:rPr>
        <w:t xml:space="preserve"> as the distress and mental suffering subsequently incurred, and makes a public apology to the complainant and </w:t>
      </w:r>
      <w:r w:rsidR="009D0FD6" w:rsidRPr="00134D73">
        <w:rPr>
          <w:bCs/>
          <w:color w:val="000000" w:themeColor="text1"/>
          <w:lang w:val="en-GB"/>
        </w:rPr>
        <w:t>his</w:t>
      </w:r>
      <w:r w:rsidRPr="00134D73">
        <w:rPr>
          <w:bCs/>
          <w:color w:val="000000" w:themeColor="text1"/>
          <w:lang w:val="en-GB"/>
        </w:rPr>
        <w:t xml:space="preserve"> family in this regard;</w:t>
      </w:r>
    </w:p>
    <w:p w:rsidR="00711F6E" w:rsidRPr="00134D73" w:rsidRDefault="00711F6E" w:rsidP="00711F6E">
      <w:pPr>
        <w:tabs>
          <w:tab w:val="left" w:pos="900"/>
        </w:tabs>
        <w:suppressAutoHyphens/>
        <w:autoSpaceDE w:val="0"/>
        <w:ind w:left="720"/>
        <w:jc w:val="both"/>
        <w:rPr>
          <w:color w:val="000000" w:themeColor="text1"/>
          <w:lang w:val="en-GB"/>
        </w:rPr>
      </w:pPr>
    </w:p>
    <w:p w:rsidR="00711F6E" w:rsidRPr="00134D73" w:rsidRDefault="00711F6E" w:rsidP="00711F6E">
      <w:pPr>
        <w:tabs>
          <w:tab w:val="left" w:pos="900"/>
        </w:tabs>
        <w:suppressAutoHyphens/>
        <w:autoSpaceDE w:val="0"/>
        <w:ind w:left="720" w:hanging="180"/>
        <w:jc w:val="both"/>
        <w:rPr>
          <w:color w:val="000000" w:themeColor="text1"/>
          <w:lang w:val="en-GB"/>
        </w:rPr>
      </w:pPr>
      <w:r w:rsidRPr="00134D73">
        <w:rPr>
          <w:b/>
          <w:color w:val="000000" w:themeColor="text1"/>
          <w:lang w:val="en-GB"/>
        </w:rPr>
        <w:t xml:space="preserve">- </w:t>
      </w:r>
      <w:r w:rsidRPr="00134D73">
        <w:rPr>
          <w:color w:val="000000" w:themeColor="text1"/>
          <w:lang w:val="en-GB"/>
        </w:rPr>
        <w:t xml:space="preserve">Takes appropriate steps towards payment of adequate compensation to the complainant for the moral damage suffered due to UNMIK’s failure to conduct an effective investigation as well as for distress and </w:t>
      </w:r>
      <w:r w:rsidRPr="00134D73">
        <w:rPr>
          <w:bCs/>
          <w:color w:val="000000" w:themeColor="text1"/>
          <w:lang w:val="en-GB"/>
        </w:rPr>
        <w:t xml:space="preserve">mental suffering </w:t>
      </w:r>
      <w:r w:rsidR="00A259B2" w:rsidRPr="00134D73">
        <w:rPr>
          <w:color w:val="000000" w:themeColor="text1"/>
          <w:lang w:val="en-GB"/>
        </w:rPr>
        <w:t>incurred by him</w:t>
      </w:r>
      <w:r w:rsidRPr="00134D73">
        <w:rPr>
          <w:color w:val="000000" w:themeColor="text1"/>
          <w:lang w:val="en-GB"/>
        </w:rPr>
        <w:t xml:space="preserve"> as a consequence of UNMIK’s behaviour.</w:t>
      </w:r>
    </w:p>
    <w:p w:rsidR="00711F6E" w:rsidRPr="00134D73" w:rsidRDefault="00711F6E" w:rsidP="00711F6E">
      <w:pPr>
        <w:suppressAutoHyphens/>
        <w:autoSpaceDE w:val="0"/>
        <w:ind w:left="360"/>
        <w:jc w:val="both"/>
        <w:rPr>
          <w:b/>
          <w:bCs/>
          <w:color w:val="000000" w:themeColor="text1"/>
          <w:lang w:val="en-GB"/>
        </w:rPr>
      </w:pPr>
    </w:p>
    <w:p w:rsidR="00711F6E" w:rsidRPr="00134D73" w:rsidRDefault="00711F6E" w:rsidP="00711F6E">
      <w:pPr>
        <w:suppressAutoHyphens/>
        <w:autoSpaceDE w:val="0"/>
        <w:ind w:left="450"/>
        <w:jc w:val="both"/>
        <w:rPr>
          <w:b/>
          <w:bCs/>
          <w:color w:val="000000" w:themeColor="text1"/>
          <w:lang w:val="en-GB"/>
        </w:rPr>
      </w:pPr>
      <w:r w:rsidRPr="00134D73">
        <w:rPr>
          <w:b/>
          <w:bCs/>
          <w:color w:val="000000" w:themeColor="text1"/>
          <w:lang w:val="en-GB"/>
        </w:rPr>
        <w:t>The Panel also considers appropriate that UNMIK:</w:t>
      </w:r>
    </w:p>
    <w:p w:rsidR="00711F6E" w:rsidRPr="00134D73" w:rsidRDefault="00711F6E" w:rsidP="00711F6E">
      <w:pPr>
        <w:rPr>
          <w:color w:val="000000" w:themeColor="text1"/>
          <w:lang w:val="en-GB"/>
        </w:rPr>
      </w:pPr>
    </w:p>
    <w:p w:rsidR="00711F6E" w:rsidRPr="00134D73" w:rsidRDefault="00711F6E" w:rsidP="00711F6E">
      <w:pPr>
        <w:tabs>
          <w:tab w:val="left" w:pos="900"/>
        </w:tabs>
        <w:suppressAutoHyphens/>
        <w:autoSpaceDE w:val="0"/>
        <w:ind w:left="720" w:hanging="180"/>
        <w:jc w:val="both"/>
        <w:rPr>
          <w:color w:val="000000" w:themeColor="text1"/>
          <w:lang w:val="en-GB"/>
        </w:rPr>
      </w:pPr>
      <w:r w:rsidRPr="00134D73">
        <w:rPr>
          <w:b/>
          <w:bCs/>
          <w:color w:val="000000" w:themeColor="text1"/>
          <w:lang w:val="en-GB"/>
        </w:rPr>
        <w:t>-</w:t>
      </w:r>
      <w:r w:rsidRPr="00134D73">
        <w:rPr>
          <w:bCs/>
          <w:color w:val="000000" w:themeColor="text1"/>
          <w:lang w:val="en-GB"/>
        </w:rPr>
        <w:t xml:space="preserve"> In line </w:t>
      </w:r>
      <w:r w:rsidRPr="00134D73">
        <w:rPr>
          <w:color w:val="000000" w:themeColor="text1"/>
          <w:lang w:val="en-GB"/>
        </w:rPr>
        <w:t>with</w:t>
      </w:r>
      <w:r w:rsidRPr="00134D73">
        <w:rPr>
          <w:bCs/>
          <w:color w:val="000000" w:themeColor="text1"/>
          <w:lang w:val="en-GB"/>
        </w:rPr>
        <w:t xml:space="preserve"> the UN </w:t>
      </w:r>
      <w:r w:rsidRPr="00134D73">
        <w:rPr>
          <w:color w:val="000000" w:themeColor="text1"/>
          <w:lang w:val="en-GB"/>
        </w:rPr>
        <w:t>General</w:t>
      </w:r>
      <w:r w:rsidRPr="00134D73">
        <w:rPr>
          <w:bCs/>
          <w:color w:val="000000" w:themeColor="text1"/>
          <w:lang w:val="en-GB"/>
        </w:rPr>
        <w:t xml:space="preserve"> Assembly Resolution on “Basic Principles and </w:t>
      </w:r>
      <w:r w:rsidRPr="00134D73">
        <w:rPr>
          <w:color w:val="000000" w:themeColor="text1"/>
          <w:lang w:val="en-GB"/>
        </w:rPr>
        <w:t>Guidelines</w:t>
      </w:r>
      <w:r w:rsidRPr="00134D73">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134D73">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134D73" w:rsidRDefault="00711F6E" w:rsidP="00711F6E">
      <w:pPr>
        <w:tabs>
          <w:tab w:val="left" w:pos="900"/>
        </w:tabs>
        <w:suppressAutoHyphens/>
        <w:autoSpaceDE w:val="0"/>
        <w:ind w:left="720"/>
        <w:jc w:val="both"/>
        <w:rPr>
          <w:color w:val="000000" w:themeColor="text1"/>
          <w:lang w:val="en-GB"/>
        </w:rPr>
      </w:pPr>
    </w:p>
    <w:p w:rsidR="00711F6E" w:rsidRPr="00134D73" w:rsidRDefault="00711F6E" w:rsidP="00711F6E">
      <w:pPr>
        <w:tabs>
          <w:tab w:val="left" w:pos="900"/>
        </w:tabs>
        <w:suppressAutoHyphens/>
        <w:autoSpaceDE w:val="0"/>
        <w:ind w:left="720" w:hanging="180"/>
        <w:jc w:val="both"/>
        <w:rPr>
          <w:color w:val="000000" w:themeColor="text1"/>
          <w:lang w:val="en-GB"/>
        </w:rPr>
      </w:pPr>
      <w:r w:rsidRPr="00134D73">
        <w:rPr>
          <w:b/>
          <w:color w:val="000000" w:themeColor="text1"/>
          <w:lang w:val="en-GB"/>
        </w:rPr>
        <w:t>-</w:t>
      </w:r>
      <w:r w:rsidRPr="00134D73">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134D73" w:rsidRDefault="00711F6E" w:rsidP="00711F6E">
      <w:pPr>
        <w:rPr>
          <w:color w:val="000000" w:themeColor="text1"/>
          <w:lang w:val="en-GB"/>
        </w:rPr>
      </w:pPr>
    </w:p>
    <w:p w:rsidR="00711F6E" w:rsidRPr="00134D73" w:rsidRDefault="00711F6E" w:rsidP="00711F6E">
      <w:pPr>
        <w:rPr>
          <w:color w:val="000000" w:themeColor="text1"/>
          <w:lang w:val="en-GB"/>
        </w:rPr>
      </w:pPr>
    </w:p>
    <w:p w:rsidR="00711F6E" w:rsidRPr="00134D73" w:rsidRDefault="00711F6E" w:rsidP="00711F6E">
      <w:pPr>
        <w:rPr>
          <w:color w:val="000000" w:themeColor="text1"/>
          <w:lang w:val="en-GB"/>
        </w:rPr>
      </w:pPr>
    </w:p>
    <w:p w:rsidR="00711F6E" w:rsidRPr="00134D73" w:rsidRDefault="00711F6E" w:rsidP="00711F6E">
      <w:pPr>
        <w:pStyle w:val="Normal1"/>
        <w:spacing w:before="0" w:beforeAutospacing="0" w:after="0" w:afterAutospacing="0"/>
        <w:jc w:val="both"/>
        <w:rPr>
          <w:b/>
          <w:color w:val="000000" w:themeColor="text1"/>
          <w:lang w:val="en-GB"/>
        </w:rPr>
      </w:pPr>
      <w:r w:rsidRPr="00134D73">
        <w:rPr>
          <w:b/>
          <w:color w:val="000000" w:themeColor="text1"/>
          <w:lang w:val="en-GB"/>
        </w:rPr>
        <w:t>FOR THESE REASONS,</w:t>
      </w:r>
    </w:p>
    <w:p w:rsidR="00711F6E" w:rsidRPr="00134D73" w:rsidRDefault="00711F6E" w:rsidP="00711F6E">
      <w:pPr>
        <w:pStyle w:val="Normal1"/>
        <w:spacing w:before="0" w:beforeAutospacing="0" w:after="0" w:afterAutospacing="0"/>
        <w:jc w:val="both"/>
        <w:rPr>
          <w:b/>
          <w:color w:val="000000" w:themeColor="text1"/>
          <w:lang w:val="en-GB"/>
        </w:rPr>
      </w:pPr>
    </w:p>
    <w:p w:rsidR="00711F6E" w:rsidRPr="00134D73" w:rsidRDefault="00711F6E" w:rsidP="00711F6E">
      <w:pPr>
        <w:autoSpaceDE w:val="0"/>
        <w:autoSpaceDN w:val="0"/>
        <w:adjustRightInd w:val="0"/>
        <w:jc w:val="both"/>
        <w:rPr>
          <w:color w:val="000000" w:themeColor="text1"/>
          <w:lang w:val="en-GB"/>
        </w:rPr>
      </w:pPr>
      <w:r w:rsidRPr="00134D73">
        <w:rPr>
          <w:color w:val="000000" w:themeColor="text1"/>
          <w:lang w:val="en-GB"/>
        </w:rPr>
        <w:t>The Panel, unanimously,</w:t>
      </w:r>
    </w:p>
    <w:p w:rsidR="00711F6E" w:rsidRPr="00134D73" w:rsidRDefault="00711F6E" w:rsidP="00711F6E">
      <w:pPr>
        <w:autoSpaceDE w:val="0"/>
        <w:autoSpaceDN w:val="0"/>
        <w:adjustRightInd w:val="0"/>
        <w:jc w:val="both"/>
        <w:rPr>
          <w:color w:val="000000" w:themeColor="text1"/>
          <w:lang w:val="en-GB"/>
        </w:rPr>
      </w:pPr>
    </w:p>
    <w:p w:rsidR="00711F6E" w:rsidRPr="00134D73" w:rsidRDefault="00711F6E" w:rsidP="00711F6E">
      <w:pPr>
        <w:autoSpaceDE w:val="0"/>
        <w:autoSpaceDN w:val="0"/>
        <w:adjustRightInd w:val="0"/>
        <w:jc w:val="both"/>
        <w:rPr>
          <w:color w:val="000000" w:themeColor="text1"/>
          <w:lang w:val="en-GB"/>
        </w:rPr>
      </w:pPr>
    </w:p>
    <w:p w:rsidR="00711F6E" w:rsidRPr="00134D73" w:rsidRDefault="00711F6E" w:rsidP="00711F6E">
      <w:pPr>
        <w:pStyle w:val="JuList"/>
        <w:numPr>
          <w:ilvl w:val="0"/>
          <w:numId w:val="5"/>
        </w:numPr>
        <w:tabs>
          <w:tab w:val="clear" w:pos="567"/>
          <w:tab w:val="num" w:pos="-142"/>
        </w:tabs>
        <w:ind w:left="284" w:hanging="284"/>
        <w:rPr>
          <w:b/>
          <w:color w:val="000000" w:themeColor="text1"/>
        </w:rPr>
      </w:pPr>
      <w:r w:rsidRPr="00134D73">
        <w:rPr>
          <w:b/>
          <w:color w:val="000000" w:themeColor="text1"/>
        </w:rPr>
        <w:t>FINDS THAT THERE HAS BEEN A VIOLATION OF THE PROCEDURAL OBLIGATION UNDER ARTICLE 2 OF THE EUROPEAN CONVENTION ON HUMAN RIGHTS;</w:t>
      </w:r>
    </w:p>
    <w:p w:rsidR="00711F6E" w:rsidRPr="00134D73" w:rsidRDefault="00711F6E" w:rsidP="00711F6E">
      <w:pPr>
        <w:pStyle w:val="JuList"/>
        <w:ind w:left="0" w:firstLine="0"/>
        <w:rPr>
          <w:b/>
          <w:color w:val="000000" w:themeColor="text1"/>
        </w:rPr>
      </w:pPr>
    </w:p>
    <w:p w:rsidR="00711F6E" w:rsidRPr="00134D73" w:rsidRDefault="00711F6E" w:rsidP="00711F6E">
      <w:pPr>
        <w:pStyle w:val="JuList"/>
        <w:numPr>
          <w:ilvl w:val="0"/>
          <w:numId w:val="5"/>
        </w:numPr>
        <w:tabs>
          <w:tab w:val="clear" w:pos="567"/>
          <w:tab w:val="num" w:pos="-142"/>
        </w:tabs>
        <w:ind w:left="284" w:hanging="284"/>
        <w:rPr>
          <w:b/>
          <w:color w:val="000000" w:themeColor="text1"/>
        </w:rPr>
      </w:pPr>
      <w:r w:rsidRPr="00134D73">
        <w:rPr>
          <w:b/>
          <w:color w:val="000000" w:themeColor="text1"/>
        </w:rPr>
        <w:t xml:space="preserve">FINDS THAT THERE HAS BEEN A VIOLATION OF THE SUBSTANTIVE OBLIGATION UNDER ARTICLE 3 OF THE EUROPEAN CONVENTION ON HUMAN RIGHTS, IN RELATION TO THE </w:t>
      </w:r>
      <w:r w:rsidR="001F0511" w:rsidRPr="00134D73">
        <w:rPr>
          <w:b/>
          <w:color w:val="000000" w:themeColor="text1"/>
        </w:rPr>
        <w:t>DISAPPEARANCE</w:t>
      </w:r>
      <w:r w:rsidR="009D0FD6" w:rsidRPr="00134D73">
        <w:rPr>
          <w:b/>
          <w:color w:val="000000" w:themeColor="text1"/>
        </w:rPr>
        <w:t xml:space="preserve"> OF MRS SLAVKA PANTOVIĆ, MR MILIĆ PANTOVI</w:t>
      </w:r>
      <w:r w:rsidR="003B04CE" w:rsidRPr="00134D73">
        <w:rPr>
          <w:b/>
          <w:color w:val="000000" w:themeColor="text1"/>
        </w:rPr>
        <w:t>Ć AND MRS MILEVA PANTOVIĆ</w:t>
      </w:r>
      <w:r w:rsidRPr="00134D73">
        <w:rPr>
          <w:b/>
          <w:color w:val="000000" w:themeColor="text1"/>
        </w:rPr>
        <w:t>;</w:t>
      </w:r>
    </w:p>
    <w:p w:rsidR="00711F6E" w:rsidRPr="00134D73" w:rsidRDefault="00711F6E" w:rsidP="00711F6E">
      <w:pPr>
        <w:pStyle w:val="JuList"/>
        <w:ind w:left="0" w:firstLine="0"/>
        <w:rPr>
          <w:b/>
          <w:color w:val="000000" w:themeColor="text1"/>
        </w:rPr>
      </w:pPr>
    </w:p>
    <w:p w:rsidR="00711F6E" w:rsidRPr="00134D73" w:rsidRDefault="00711F6E" w:rsidP="00711F6E">
      <w:pPr>
        <w:pStyle w:val="JuList"/>
        <w:numPr>
          <w:ilvl w:val="0"/>
          <w:numId w:val="5"/>
        </w:numPr>
        <w:tabs>
          <w:tab w:val="clear" w:pos="567"/>
          <w:tab w:val="num" w:pos="-142"/>
        </w:tabs>
        <w:ind w:left="284" w:hanging="284"/>
        <w:rPr>
          <w:b/>
          <w:color w:val="000000" w:themeColor="text1"/>
        </w:rPr>
      </w:pPr>
      <w:r w:rsidRPr="00134D73">
        <w:rPr>
          <w:b/>
          <w:color w:val="000000" w:themeColor="text1"/>
        </w:rPr>
        <w:t>RECOMMENDS</w:t>
      </w:r>
      <w:r w:rsidRPr="00134D73">
        <w:rPr>
          <w:b/>
          <w:bCs/>
          <w:color w:val="000000" w:themeColor="text1"/>
          <w:lang w:eastAsia="en-US"/>
        </w:rPr>
        <w:t xml:space="preserve"> THAT UNMIK:</w:t>
      </w:r>
    </w:p>
    <w:p w:rsidR="00711F6E" w:rsidRPr="00134D73" w:rsidRDefault="00711F6E" w:rsidP="00711F6E">
      <w:pPr>
        <w:pStyle w:val="JuList"/>
        <w:ind w:left="0" w:firstLine="0"/>
        <w:rPr>
          <w:b/>
          <w:bCs/>
          <w:color w:val="000000" w:themeColor="text1"/>
          <w:lang w:eastAsia="en-US"/>
        </w:rPr>
      </w:pPr>
    </w:p>
    <w:p w:rsidR="00711F6E" w:rsidRPr="00134D73" w:rsidRDefault="00711F6E" w:rsidP="00711F6E">
      <w:pPr>
        <w:pStyle w:val="JuList"/>
        <w:numPr>
          <w:ilvl w:val="0"/>
          <w:numId w:val="18"/>
        </w:numPr>
        <w:tabs>
          <w:tab w:val="num" w:pos="720"/>
        </w:tabs>
        <w:rPr>
          <w:b/>
          <w:bCs/>
          <w:color w:val="000000" w:themeColor="text1"/>
          <w:lang w:eastAsia="en-US"/>
        </w:rPr>
      </w:pPr>
      <w:r w:rsidRPr="00134D73">
        <w:rPr>
          <w:b/>
          <w:bCs/>
          <w:color w:val="000000" w:themeColor="text1"/>
          <w:lang w:eastAsia="en-US"/>
        </w:rPr>
        <w:lastRenderedPageBreak/>
        <w:t xml:space="preserve">URGES THE COMPETENT AUTHORITIES IN KOSOVO TO TAKE ALL POSSIBLE STEPS IN ORDER TO ENSURE THAT THE CRIMINAL INVESTIGATION INTO </w:t>
      </w:r>
      <w:r w:rsidR="003B04CE" w:rsidRPr="00134D73">
        <w:rPr>
          <w:b/>
          <w:color w:val="000000" w:themeColor="text1"/>
        </w:rPr>
        <w:t xml:space="preserve">THE DISAPPEARANCE OF MRS SLAVKA PANTOVIĆ, MR MILIĆ PANTOVIĆ AND MRS MILEVA PANTOVIĆ </w:t>
      </w:r>
      <w:r w:rsidRPr="00134D73">
        <w:rPr>
          <w:b/>
          <w:color w:val="000000" w:themeColor="text1"/>
        </w:rPr>
        <w:t>IS</w:t>
      </w:r>
      <w:r w:rsidRPr="00134D73">
        <w:rPr>
          <w:b/>
          <w:bCs/>
          <w:color w:val="000000" w:themeColor="text1"/>
          <w:lang w:eastAsia="en-US"/>
        </w:rPr>
        <w:t xml:space="preserve"> CONTINUED IN COMPLIANCE WITH ARTICLE 2 OF THE ECHR AND THAT THE PERPETRATORS ARE BROUGHT TO JUSTICE;</w:t>
      </w:r>
    </w:p>
    <w:p w:rsidR="00711F6E" w:rsidRPr="00134D73" w:rsidRDefault="00711F6E" w:rsidP="00711F6E">
      <w:pPr>
        <w:pStyle w:val="JuList"/>
        <w:ind w:left="426" w:hanging="283"/>
        <w:rPr>
          <w:b/>
          <w:bCs/>
          <w:color w:val="000000" w:themeColor="text1"/>
          <w:lang w:eastAsia="en-US"/>
        </w:rPr>
      </w:pPr>
    </w:p>
    <w:p w:rsidR="00711F6E" w:rsidRPr="00134D73" w:rsidRDefault="00711F6E" w:rsidP="00711F6E">
      <w:pPr>
        <w:pStyle w:val="JuList"/>
        <w:numPr>
          <w:ilvl w:val="0"/>
          <w:numId w:val="18"/>
        </w:numPr>
        <w:tabs>
          <w:tab w:val="num" w:pos="720"/>
        </w:tabs>
        <w:rPr>
          <w:b/>
          <w:bCs/>
          <w:color w:val="000000" w:themeColor="text1"/>
          <w:lang w:eastAsia="en-US"/>
        </w:rPr>
      </w:pPr>
      <w:r w:rsidRPr="00134D73">
        <w:rPr>
          <w:b/>
          <w:bCs/>
          <w:color w:val="000000" w:themeColor="text1"/>
          <w:lang w:eastAsia="en-US"/>
        </w:rPr>
        <w:t>PUBLICLY ACKNOWLEDGES</w:t>
      </w:r>
      <w:r w:rsidR="00FC30AF" w:rsidRPr="00134D73">
        <w:rPr>
          <w:b/>
          <w:bCs/>
          <w:color w:val="000000" w:themeColor="text1"/>
          <w:lang w:eastAsia="en-US"/>
        </w:rPr>
        <w:t>,</w:t>
      </w:r>
      <w:r w:rsidRPr="00134D73">
        <w:rPr>
          <w:b/>
          <w:bCs/>
          <w:color w:val="000000" w:themeColor="text1"/>
          <w:lang w:eastAsia="en-US"/>
        </w:rPr>
        <w:t xml:space="preserve"> INCLUDING THROUGH MEDIA</w:t>
      </w:r>
      <w:r w:rsidR="00FC30AF" w:rsidRPr="00134D73">
        <w:rPr>
          <w:b/>
          <w:bCs/>
          <w:color w:val="000000" w:themeColor="text1"/>
          <w:lang w:eastAsia="en-US"/>
        </w:rPr>
        <w:t>,</w:t>
      </w:r>
      <w:r w:rsidRPr="00134D73">
        <w:rPr>
          <w:b/>
          <w:bCs/>
          <w:color w:val="000000" w:themeColor="text1"/>
          <w:lang w:eastAsia="en-US"/>
        </w:rPr>
        <w:t xml:space="preserve"> RESPONSIBILITY FOR ITS FAILURE TO CONDUCT AN EFFECTIVE INVESTIGATION INTO </w:t>
      </w:r>
      <w:r w:rsidR="003B04CE" w:rsidRPr="00134D73">
        <w:rPr>
          <w:b/>
          <w:color w:val="000000" w:themeColor="text1"/>
        </w:rPr>
        <w:t xml:space="preserve">THE </w:t>
      </w:r>
      <w:r w:rsidR="002E6AB6" w:rsidRPr="00134D73">
        <w:rPr>
          <w:b/>
          <w:color w:val="000000" w:themeColor="text1"/>
        </w:rPr>
        <w:t xml:space="preserve">DISAPPEARANCE </w:t>
      </w:r>
      <w:r w:rsidR="003B04CE" w:rsidRPr="00134D73">
        <w:rPr>
          <w:b/>
          <w:color w:val="000000" w:themeColor="text1"/>
        </w:rPr>
        <w:t>OF MRS SLAVKA PANTOVIĆ, MR MILIĆ PANTOVIĆ AND MRS MILEVA PANTOVIĆ</w:t>
      </w:r>
      <w:r w:rsidRPr="00134D73">
        <w:rPr>
          <w:b/>
          <w:bCs/>
          <w:color w:val="000000" w:themeColor="text1"/>
          <w:lang w:eastAsia="en-US"/>
        </w:rPr>
        <w:t xml:space="preserve">, AS WELL AS FOR DISTRESS AND MENTAL SUFFERING INCURRED, AND MAKES A PUBLIC APOLOGY TO THE COMPLAINANT AND </w:t>
      </w:r>
      <w:r w:rsidR="003B04CE" w:rsidRPr="00134D73">
        <w:rPr>
          <w:b/>
          <w:bCs/>
          <w:color w:val="000000" w:themeColor="text1"/>
          <w:lang w:eastAsia="en-US"/>
        </w:rPr>
        <w:t>HIS</w:t>
      </w:r>
      <w:r w:rsidRPr="00134D73">
        <w:rPr>
          <w:b/>
          <w:bCs/>
          <w:color w:val="000000" w:themeColor="text1"/>
          <w:lang w:eastAsia="en-US"/>
        </w:rPr>
        <w:t xml:space="preserve"> FAMILY;</w:t>
      </w:r>
    </w:p>
    <w:p w:rsidR="00711F6E" w:rsidRPr="00134D73" w:rsidRDefault="00711F6E" w:rsidP="00711F6E">
      <w:pPr>
        <w:pStyle w:val="JuList"/>
        <w:ind w:left="426" w:hanging="283"/>
        <w:rPr>
          <w:b/>
          <w:bCs/>
          <w:color w:val="000000" w:themeColor="text1"/>
          <w:lang w:eastAsia="en-US"/>
        </w:rPr>
      </w:pPr>
    </w:p>
    <w:p w:rsidR="00711F6E" w:rsidRPr="00134D73" w:rsidRDefault="00711F6E" w:rsidP="00711F6E">
      <w:pPr>
        <w:pStyle w:val="JuList"/>
        <w:numPr>
          <w:ilvl w:val="0"/>
          <w:numId w:val="18"/>
        </w:numPr>
        <w:tabs>
          <w:tab w:val="num" w:pos="720"/>
        </w:tabs>
        <w:rPr>
          <w:b/>
          <w:bCs/>
          <w:color w:val="000000" w:themeColor="text1"/>
          <w:lang w:eastAsia="en-US"/>
        </w:rPr>
      </w:pPr>
      <w:r w:rsidRPr="00134D73">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134D73" w:rsidRDefault="00711F6E" w:rsidP="00711F6E">
      <w:pPr>
        <w:pStyle w:val="JuList"/>
        <w:ind w:left="426" w:hanging="283"/>
        <w:rPr>
          <w:b/>
          <w:bCs/>
          <w:color w:val="000000" w:themeColor="text1"/>
          <w:lang w:eastAsia="en-US"/>
        </w:rPr>
      </w:pPr>
    </w:p>
    <w:p w:rsidR="00711F6E" w:rsidRPr="00134D73" w:rsidRDefault="00711F6E" w:rsidP="00711F6E">
      <w:pPr>
        <w:pStyle w:val="JuList"/>
        <w:numPr>
          <w:ilvl w:val="0"/>
          <w:numId w:val="18"/>
        </w:numPr>
        <w:tabs>
          <w:tab w:val="num" w:pos="720"/>
        </w:tabs>
        <w:rPr>
          <w:b/>
          <w:bCs/>
          <w:color w:val="000000" w:themeColor="text1"/>
          <w:lang w:eastAsia="en-US"/>
        </w:rPr>
      </w:pPr>
      <w:r w:rsidRPr="00134D73">
        <w:rPr>
          <w:b/>
          <w:bCs/>
          <w:color w:val="000000" w:themeColor="text1"/>
          <w:lang w:eastAsia="en-US"/>
        </w:rPr>
        <w:t>TAKES APPROPRIATE STEPS TOWARDS THE REALISATION OF A FULL AND COMPREHENSIVE REPARATION PROGRAMME;</w:t>
      </w:r>
    </w:p>
    <w:p w:rsidR="00711F6E" w:rsidRPr="00E879A0" w:rsidRDefault="00711F6E" w:rsidP="00711F6E">
      <w:pPr>
        <w:pStyle w:val="JuList"/>
        <w:ind w:left="426" w:hanging="283"/>
        <w:rPr>
          <w:b/>
          <w:bCs/>
          <w:color w:val="000000" w:themeColor="text1"/>
          <w:lang w:eastAsia="en-US"/>
        </w:rPr>
      </w:pPr>
    </w:p>
    <w:p w:rsidR="00711F6E" w:rsidRPr="00E879A0" w:rsidRDefault="00711F6E" w:rsidP="00711F6E">
      <w:pPr>
        <w:pStyle w:val="JuList"/>
        <w:numPr>
          <w:ilvl w:val="0"/>
          <w:numId w:val="18"/>
        </w:numPr>
        <w:tabs>
          <w:tab w:val="num" w:pos="720"/>
        </w:tabs>
        <w:rPr>
          <w:b/>
          <w:bCs/>
          <w:color w:val="000000" w:themeColor="text1"/>
          <w:lang w:eastAsia="en-US"/>
        </w:rPr>
      </w:pPr>
      <w:r w:rsidRPr="00E879A0">
        <w:rPr>
          <w:b/>
          <w:bCs/>
          <w:color w:val="000000" w:themeColor="text1"/>
          <w:lang w:eastAsia="en-US"/>
        </w:rPr>
        <w:t>TAKES APPROPRIATE STEPS AT THE UNITED NATIONS AS A GUARANTEE OF NON REPETITION;</w:t>
      </w:r>
    </w:p>
    <w:p w:rsidR="00711F6E" w:rsidRPr="00E879A0" w:rsidRDefault="00711F6E" w:rsidP="00711F6E">
      <w:pPr>
        <w:pStyle w:val="JuList"/>
        <w:ind w:left="426" w:hanging="283"/>
        <w:rPr>
          <w:b/>
          <w:bCs/>
          <w:color w:val="000000" w:themeColor="text1"/>
          <w:lang w:eastAsia="en-US"/>
        </w:rPr>
      </w:pPr>
    </w:p>
    <w:p w:rsidR="00711F6E" w:rsidRPr="00E879A0" w:rsidRDefault="00711F6E" w:rsidP="00711F6E">
      <w:pPr>
        <w:pStyle w:val="JuList"/>
        <w:numPr>
          <w:ilvl w:val="0"/>
          <w:numId w:val="18"/>
        </w:numPr>
        <w:tabs>
          <w:tab w:val="num" w:pos="720"/>
        </w:tabs>
        <w:rPr>
          <w:b/>
          <w:bCs/>
          <w:color w:val="000000" w:themeColor="text1"/>
          <w:lang w:eastAsia="en-US"/>
        </w:rPr>
      </w:pPr>
      <w:r w:rsidRPr="00E879A0">
        <w:rPr>
          <w:b/>
          <w:bCs/>
          <w:color w:val="000000" w:themeColor="text1"/>
          <w:lang w:eastAsia="en-US"/>
        </w:rPr>
        <w:t>TAKES IMMEDIATE AND EFFECTIVE MEASURES TO IMPLEMENT THE RECOMMENDATIONS OF THE PANEL AND TO INFORM THE COMPLAINANT AND THE PANEL ABOUT FURTHER DEVELOPMENTS IN THIS CASE.</w:t>
      </w:r>
    </w:p>
    <w:p w:rsidR="00711F6E" w:rsidRDefault="00711F6E" w:rsidP="00711F6E">
      <w:pPr>
        <w:autoSpaceDE w:val="0"/>
        <w:autoSpaceDN w:val="0"/>
        <w:adjustRightInd w:val="0"/>
        <w:jc w:val="both"/>
        <w:rPr>
          <w:color w:val="000000" w:themeColor="text1"/>
          <w:lang w:val="en-GB"/>
        </w:rPr>
      </w:pPr>
    </w:p>
    <w:p w:rsidR="00E92DED" w:rsidRDefault="00E92DED" w:rsidP="00711F6E">
      <w:pPr>
        <w:autoSpaceDE w:val="0"/>
        <w:autoSpaceDN w:val="0"/>
        <w:adjustRightInd w:val="0"/>
        <w:jc w:val="both"/>
        <w:rPr>
          <w:color w:val="000000" w:themeColor="text1"/>
          <w:lang w:val="en-GB"/>
        </w:rPr>
      </w:pPr>
    </w:p>
    <w:p w:rsidR="00E92DED" w:rsidRPr="00E879A0" w:rsidRDefault="00E92DED" w:rsidP="00711F6E">
      <w:pPr>
        <w:autoSpaceDE w:val="0"/>
        <w:autoSpaceDN w:val="0"/>
        <w:adjustRightInd w:val="0"/>
        <w:jc w:val="both"/>
        <w:rPr>
          <w:color w:val="000000" w:themeColor="text1"/>
          <w:lang w:val="en-GB"/>
        </w:rPr>
      </w:pPr>
    </w:p>
    <w:p w:rsidR="00711F6E" w:rsidRPr="00E879A0" w:rsidRDefault="00711F6E" w:rsidP="00711F6E">
      <w:pPr>
        <w:autoSpaceDE w:val="0"/>
        <w:autoSpaceDN w:val="0"/>
        <w:adjustRightInd w:val="0"/>
        <w:jc w:val="both"/>
        <w:rPr>
          <w:color w:val="000000" w:themeColor="text1"/>
          <w:lang w:val="en-GB"/>
        </w:rPr>
      </w:pPr>
      <w:r w:rsidRPr="00E879A0">
        <w:rPr>
          <w:color w:val="000000" w:themeColor="text1"/>
          <w:lang w:val="en-GB"/>
        </w:rPr>
        <w:t xml:space="preserve"> Andrey Antonov</w:t>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t>Marek Nowicki</w:t>
      </w:r>
    </w:p>
    <w:p w:rsidR="00711F6E" w:rsidRPr="00E879A0" w:rsidRDefault="00711F6E" w:rsidP="00711F6E">
      <w:pPr>
        <w:autoSpaceDE w:val="0"/>
        <w:autoSpaceDN w:val="0"/>
        <w:adjustRightInd w:val="0"/>
        <w:jc w:val="both"/>
        <w:rPr>
          <w:color w:val="000000" w:themeColor="text1"/>
          <w:lang w:val="en-GB"/>
        </w:rPr>
      </w:pPr>
      <w:r w:rsidRPr="00E879A0">
        <w:rPr>
          <w:color w:val="000000" w:themeColor="text1"/>
          <w:lang w:val="en-GB"/>
        </w:rPr>
        <w:t xml:space="preserve"> Executive Officer </w:t>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t>Presiding Member</w:t>
      </w:r>
    </w:p>
    <w:p w:rsidR="00711F6E" w:rsidRDefault="00711F6E"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Default="009A6E2B" w:rsidP="00711F6E">
      <w:pPr>
        <w:rPr>
          <w:i/>
          <w:color w:val="000000" w:themeColor="text1"/>
          <w:lang w:val="en-GB"/>
        </w:rPr>
      </w:pPr>
    </w:p>
    <w:p w:rsidR="009A6E2B" w:rsidRPr="00E879A0" w:rsidRDefault="009A6E2B" w:rsidP="00711F6E">
      <w:pPr>
        <w:rPr>
          <w:i/>
          <w:color w:val="000000" w:themeColor="text1"/>
          <w:lang w:val="en-GB"/>
        </w:rPr>
      </w:pPr>
    </w:p>
    <w:p w:rsidR="00711F6E" w:rsidRPr="00E879A0" w:rsidRDefault="00711F6E" w:rsidP="00711F6E">
      <w:pPr>
        <w:jc w:val="right"/>
        <w:rPr>
          <w:b/>
          <w:color w:val="000000" w:themeColor="text1"/>
          <w:lang w:val="en-GB"/>
        </w:rPr>
      </w:pPr>
      <w:r w:rsidRPr="00E879A0">
        <w:rPr>
          <w:i/>
          <w:color w:val="000000" w:themeColor="text1"/>
          <w:lang w:val="en-GB"/>
        </w:rPr>
        <w:t>Annex</w:t>
      </w:r>
    </w:p>
    <w:p w:rsidR="00711F6E" w:rsidRPr="00E879A0" w:rsidRDefault="00711F6E" w:rsidP="00711F6E">
      <w:pPr>
        <w:rPr>
          <w:b/>
          <w:color w:val="000000" w:themeColor="text1"/>
          <w:lang w:val="en-GB"/>
        </w:rPr>
      </w:pPr>
    </w:p>
    <w:p w:rsidR="00711F6E" w:rsidRPr="00E879A0" w:rsidRDefault="00711F6E" w:rsidP="00711F6E">
      <w:pPr>
        <w:jc w:val="center"/>
        <w:rPr>
          <w:color w:val="000000" w:themeColor="text1"/>
          <w:lang w:val="en-GB"/>
        </w:rPr>
      </w:pPr>
      <w:r w:rsidRPr="00E879A0">
        <w:rPr>
          <w:b/>
          <w:color w:val="000000" w:themeColor="text1"/>
          <w:lang w:val="en-GB"/>
        </w:rPr>
        <w:t>ABBREVIATIONS AND ACRONYMS</w:t>
      </w:r>
    </w:p>
    <w:p w:rsidR="00711F6E" w:rsidRPr="00E879A0" w:rsidRDefault="00711F6E" w:rsidP="00711F6E">
      <w:pPr>
        <w:autoSpaceDE w:val="0"/>
        <w:jc w:val="both"/>
        <w:rPr>
          <w:color w:val="000000" w:themeColor="text1"/>
          <w:lang w:val="en-GB"/>
        </w:rPr>
      </w:pPr>
    </w:p>
    <w:p w:rsidR="00711F6E" w:rsidRPr="00E879A0" w:rsidRDefault="00A259B2" w:rsidP="00711F6E">
      <w:pPr>
        <w:autoSpaceDE w:val="0"/>
        <w:jc w:val="both"/>
        <w:rPr>
          <w:color w:val="000000" w:themeColor="text1"/>
          <w:lang w:val="en-GB"/>
        </w:rPr>
      </w:pPr>
      <w:r>
        <w:rPr>
          <w:b/>
          <w:color w:val="000000" w:themeColor="text1"/>
          <w:lang w:val="en-GB"/>
        </w:rPr>
        <w:t xml:space="preserve">CCPR </w:t>
      </w:r>
      <w:r>
        <w:rPr>
          <w:color w:val="000000" w:themeColor="text1"/>
          <w:lang w:val="en-GB"/>
        </w:rPr>
        <w:t>-</w:t>
      </w:r>
      <w:r w:rsidR="00711F6E" w:rsidRPr="00E879A0">
        <w:rPr>
          <w:b/>
          <w:color w:val="000000" w:themeColor="text1"/>
          <w:lang w:val="en-GB"/>
        </w:rPr>
        <w:t xml:space="preserve"> </w:t>
      </w:r>
      <w:r>
        <w:rPr>
          <w:b/>
          <w:color w:val="000000" w:themeColor="text1"/>
          <w:lang w:val="en-GB"/>
        </w:rPr>
        <w:tab/>
      </w:r>
      <w:r w:rsidR="00711F6E" w:rsidRPr="00E879A0">
        <w:rPr>
          <w:color w:val="000000" w:themeColor="text1"/>
          <w:lang w:val="en-GB"/>
        </w:rPr>
        <w:t>International Covenant on Civil and Political Rights</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DOJ </w:t>
      </w:r>
      <w:r w:rsidRPr="00E879A0">
        <w:rPr>
          <w:color w:val="000000" w:themeColor="text1"/>
          <w:lang w:val="en-GB"/>
        </w:rPr>
        <w:t xml:space="preserve">- </w:t>
      </w:r>
      <w:r w:rsidR="00A259B2">
        <w:rPr>
          <w:color w:val="000000" w:themeColor="text1"/>
          <w:lang w:val="en-GB"/>
        </w:rPr>
        <w:tab/>
      </w:r>
      <w:r w:rsidR="00A259B2">
        <w:rPr>
          <w:color w:val="000000" w:themeColor="text1"/>
          <w:lang w:val="en-GB"/>
        </w:rPr>
        <w:tab/>
      </w:r>
      <w:r w:rsidRPr="00E879A0">
        <w:rPr>
          <w:color w:val="000000" w:themeColor="text1"/>
          <w:lang w:val="en-GB"/>
        </w:rPr>
        <w:t>Department of Justice</w:t>
      </w:r>
    </w:p>
    <w:p w:rsidR="00711F6E" w:rsidRPr="00E879A0" w:rsidRDefault="00711F6E" w:rsidP="00711F6E">
      <w:pPr>
        <w:autoSpaceDE w:val="0"/>
        <w:jc w:val="both"/>
        <w:rPr>
          <w:color w:val="000000" w:themeColor="text1"/>
          <w:lang w:val="en-GB"/>
        </w:rPr>
      </w:pPr>
      <w:r w:rsidRPr="00E879A0">
        <w:rPr>
          <w:b/>
          <w:color w:val="000000" w:themeColor="text1"/>
          <w:lang w:val="en-GB"/>
        </w:rPr>
        <w:t>DPPO</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District Public Prosecutor’s Office</w:t>
      </w:r>
    </w:p>
    <w:p w:rsidR="00711F6E" w:rsidRPr="00E879A0" w:rsidRDefault="00711F6E" w:rsidP="00711F6E">
      <w:pPr>
        <w:autoSpaceDE w:val="0"/>
        <w:jc w:val="both"/>
        <w:rPr>
          <w:color w:val="000000" w:themeColor="text1"/>
          <w:lang w:val="en-GB"/>
        </w:rPr>
      </w:pPr>
      <w:r w:rsidRPr="00E879A0">
        <w:rPr>
          <w:b/>
          <w:color w:val="000000" w:themeColor="text1"/>
          <w:lang w:val="en-GB"/>
        </w:rPr>
        <w:t>ECHR</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European Convention on Human Rights</w:t>
      </w:r>
    </w:p>
    <w:p w:rsidR="00711F6E" w:rsidRPr="00E879A0" w:rsidRDefault="00711F6E" w:rsidP="00711F6E">
      <w:pPr>
        <w:autoSpaceDE w:val="0"/>
        <w:jc w:val="both"/>
        <w:rPr>
          <w:color w:val="000000" w:themeColor="text1"/>
          <w:lang w:val="en-GB"/>
        </w:rPr>
      </w:pPr>
      <w:r w:rsidRPr="00E879A0">
        <w:rPr>
          <w:b/>
          <w:color w:val="000000" w:themeColor="text1"/>
          <w:lang w:val="en-GB"/>
        </w:rPr>
        <w:t>ECtHR</w:t>
      </w:r>
      <w:r w:rsidRPr="00E879A0">
        <w:rPr>
          <w:color w:val="000000" w:themeColor="text1"/>
          <w:lang w:val="en-GB"/>
        </w:rPr>
        <w:t xml:space="preserve">- </w:t>
      </w:r>
      <w:r w:rsidR="00A259B2">
        <w:rPr>
          <w:color w:val="000000" w:themeColor="text1"/>
          <w:lang w:val="en-GB"/>
        </w:rPr>
        <w:tab/>
      </w:r>
      <w:r w:rsidRPr="00E879A0">
        <w:rPr>
          <w:color w:val="000000" w:themeColor="text1"/>
          <w:lang w:val="en-GB"/>
        </w:rPr>
        <w:t xml:space="preserve">European Court of Human Rights </w:t>
      </w:r>
    </w:p>
    <w:p w:rsidR="00711F6E" w:rsidRPr="00E879A0" w:rsidRDefault="00711F6E" w:rsidP="00711F6E">
      <w:pPr>
        <w:autoSpaceDE w:val="0"/>
        <w:jc w:val="both"/>
        <w:rPr>
          <w:color w:val="000000" w:themeColor="text1"/>
          <w:lang w:val="en-GB"/>
        </w:rPr>
      </w:pPr>
      <w:r w:rsidRPr="00E879A0">
        <w:rPr>
          <w:b/>
          <w:color w:val="000000" w:themeColor="text1"/>
          <w:lang w:val="en-GB"/>
        </w:rPr>
        <w:t>EU</w:t>
      </w:r>
      <w:r w:rsidR="00A259B2">
        <w:rPr>
          <w:color w:val="000000" w:themeColor="text1"/>
          <w:lang w:val="en-GB"/>
        </w:rPr>
        <w:t xml:space="preserve"> -</w:t>
      </w:r>
      <w:r w:rsidRPr="00E879A0">
        <w:rPr>
          <w:color w:val="000000" w:themeColor="text1"/>
          <w:lang w:val="en-GB"/>
        </w:rPr>
        <w:t xml:space="preserve"> </w:t>
      </w:r>
      <w:r w:rsidR="00A259B2">
        <w:rPr>
          <w:color w:val="000000" w:themeColor="text1"/>
          <w:lang w:val="en-GB"/>
        </w:rPr>
        <w:tab/>
      </w:r>
      <w:r w:rsidR="00A259B2">
        <w:rPr>
          <w:color w:val="000000" w:themeColor="text1"/>
          <w:lang w:val="en-GB"/>
        </w:rPr>
        <w:tab/>
      </w:r>
      <w:r w:rsidRPr="00E879A0">
        <w:rPr>
          <w:color w:val="000000" w:themeColor="text1"/>
          <w:lang w:val="en-GB"/>
        </w:rPr>
        <w:t>European Union</w:t>
      </w:r>
    </w:p>
    <w:p w:rsidR="00711F6E" w:rsidRPr="00E879A0" w:rsidRDefault="00711F6E" w:rsidP="00711F6E">
      <w:pPr>
        <w:autoSpaceDE w:val="0"/>
        <w:jc w:val="both"/>
        <w:rPr>
          <w:color w:val="000000" w:themeColor="text1"/>
          <w:lang w:val="en-GB"/>
        </w:rPr>
      </w:pPr>
      <w:r w:rsidRPr="00E879A0">
        <w:rPr>
          <w:b/>
          <w:color w:val="000000" w:themeColor="text1"/>
          <w:lang w:val="en-GB"/>
        </w:rPr>
        <w:t>EULEX</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European Union Rule of Law Mission in Kosovo</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FRY </w:t>
      </w:r>
      <w:r w:rsidRPr="00E879A0">
        <w:rPr>
          <w:color w:val="000000" w:themeColor="text1"/>
          <w:lang w:val="en-GB"/>
        </w:rPr>
        <w:t xml:space="preserve">- </w:t>
      </w:r>
      <w:r w:rsidR="00A259B2">
        <w:rPr>
          <w:color w:val="000000" w:themeColor="text1"/>
          <w:lang w:val="en-GB"/>
        </w:rPr>
        <w:tab/>
      </w:r>
      <w:r w:rsidR="00A259B2">
        <w:rPr>
          <w:color w:val="000000" w:themeColor="text1"/>
          <w:lang w:val="en-GB"/>
        </w:rPr>
        <w:tab/>
      </w:r>
      <w:r w:rsidRPr="00E879A0">
        <w:rPr>
          <w:color w:val="000000" w:themeColor="text1"/>
          <w:lang w:val="en-GB"/>
        </w:rPr>
        <w:t xml:space="preserve">Federal Republic of Yugoslavia </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HRAP </w:t>
      </w:r>
      <w:r w:rsidRPr="00E879A0">
        <w:rPr>
          <w:color w:val="000000" w:themeColor="text1"/>
          <w:lang w:val="en-GB"/>
        </w:rPr>
        <w:t xml:space="preserve">- </w:t>
      </w:r>
      <w:r w:rsidR="00A259B2">
        <w:rPr>
          <w:color w:val="000000" w:themeColor="text1"/>
          <w:lang w:val="en-GB"/>
        </w:rPr>
        <w:tab/>
      </w:r>
      <w:r w:rsidRPr="00E879A0">
        <w:rPr>
          <w:color w:val="000000" w:themeColor="text1"/>
          <w:lang w:val="en-GB"/>
        </w:rPr>
        <w:t>Human Rights Advisory Panel</w:t>
      </w:r>
    </w:p>
    <w:p w:rsidR="00711F6E" w:rsidRPr="00E879A0" w:rsidRDefault="00711F6E" w:rsidP="00711F6E">
      <w:pPr>
        <w:autoSpaceDE w:val="0"/>
        <w:jc w:val="both"/>
        <w:rPr>
          <w:color w:val="000000" w:themeColor="text1"/>
          <w:lang w:val="en-GB"/>
        </w:rPr>
      </w:pPr>
      <w:r w:rsidRPr="00E879A0">
        <w:rPr>
          <w:b/>
          <w:color w:val="000000" w:themeColor="text1"/>
          <w:lang w:val="en-GB"/>
        </w:rPr>
        <w:t>HRC</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United Nation Human Rights Committee</w:t>
      </w:r>
    </w:p>
    <w:p w:rsidR="00711F6E" w:rsidRPr="00E879A0" w:rsidRDefault="00711F6E" w:rsidP="00711F6E">
      <w:pPr>
        <w:autoSpaceDE w:val="0"/>
        <w:jc w:val="both"/>
        <w:rPr>
          <w:color w:val="000000" w:themeColor="text1"/>
          <w:lang w:val="en-GB"/>
        </w:rPr>
      </w:pPr>
      <w:r w:rsidRPr="00E879A0">
        <w:rPr>
          <w:b/>
          <w:color w:val="000000" w:themeColor="text1"/>
          <w:lang w:val="en-GB"/>
        </w:rPr>
        <w:t>IACtHR</w:t>
      </w:r>
      <w:r w:rsidR="00A259B2">
        <w:rPr>
          <w:color w:val="000000" w:themeColor="text1"/>
          <w:lang w:val="en-GB"/>
        </w:rPr>
        <w:t>-</w:t>
      </w:r>
      <w:r w:rsidRPr="00E879A0">
        <w:rPr>
          <w:color w:val="000000" w:themeColor="text1"/>
          <w:lang w:val="en-GB"/>
        </w:rPr>
        <w:t xml:space="preserve"> </w:t>
      </w:r>
      <w:r w:rsidR="00A259B2">
        <w:rPr>
          <w:color w:val="000000" w:themeColor="text1"/>
          <w:lang w:val="en-GB"/>
        </w:rPr>
        <w:tab/>
      </w:r>
      <w:r w:rsidRPr="00E879A0">
        <w:rPr>
          <w:color w:val="000000" w:themeColor="text1"/>
          <w:lang w:val="en-GB"/>
        </w:rPr>
        <w:t>Inter-American Court of Human Rights</w:t>
      </w:r>
    </w:p>
    <w:p w:rsidR="00711F6E" w:rsidRPr="00E879A0" w:rsidRDefault="00711F6E" w:rsidP="00711F6E">
      <w:pPr>
        <w:autoSpaceDE w:val="0"/>
        <w:jc w:val="both"/>
        <w:rPr>
          <w:color w:val="000000" w:themeColor="text1"/>
          <w:lang w:val="en-GB"/>
        </w:rPr>
      </w:pPr>
      <w:r w:rsidRPr="00E879A0">
        <w:rPr>
          <w:b/>
          <w:color w:val="000000" w:themeColor="text1"/>
          <w:lang w:val="en-GB"/>
        </w:rPr>
        <w:t>ICMP</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International Commission of Missing Persons</w:t>
      </w:r>
    </w:p>
    <w:p w:rsidR="00711F6E" w:rsidRPr="00E879A0" w:rsidRDefault="00711F6E" w:rsidP="00711F6E">
      <w:pPr>
        <w:autoSpaceDE w:val="0"/>
        <w:jc w:val="both"/>
        <w:rPr>
          <w:color w:val="000000" w:themeColor="text1"/>
          <w:lang w:val="en-GB"/>
        </w:rPr>
      </w:pPr>
      <w:r w:rsidRPr="00E879A0">
        <w:rPr>
          <w:b/>
          <w:color w:val="000000" w:themeColor="text1"/>
          <w:lang w:val="en-GB"/>
        </w:rPr>
        <w:t>ICRC</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International Committee of the Red Cross</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ICTY </w:t>
      </w:r>
      <w:r w:rsidRPr="00E879A0">
        <w:rPr>
          <w:color w:val="000000" w:themeColor="text1"/>
          <w:lang w:val="en-GB"/>
        </w:rPr>
        <w:t xml:space="preserve">- </w:t>
      </w:r>
      <w:r w:rsidR="00A259B2">
        <w:rPr>
          <w:color w:val="000000" w:themeColor="text1"/>
          <w:lang w:val="en-GB"/>
        </w:rPr>
        <w:tab/>
      </w:r>
      <w:r w:rsidRPr="00E879A0">
        <w:rPr>
          <w:color w:val="000000" w:themeColor="text1"/>
          <w:lang w:val="en-GB"/>
        </w:rPr>
        <w:t>International Criminal Tribunal for former Yugoslavia</w:t>
      </w:r>
    </w:p>
    <w:p w:rsidR="00711F6E" w:rsidRPr="00E879A0" w:rsidRDefault="00711F6E" w:rsidP="00711F6E">
      <w:pPr>
        <w:autoSpaceDE w:val="0"/>
        <w:jc w:val="both"/>
        <w:rPr>
          <w:color w:val="000000" w:themeColor="text1"/>
          <w:lang w:val="en-GB"/>
        </w:rPr>
      </w:pPr>
      <w:r w:rsidRPr="00E879A0">
        <w:rPr>
          <w:b/>
          <w:color w:val="000000" w:themeColor="text1"/>
          <w:lang w:val="en-GB"/>
        </w:rPr>
        <w:t>IP</w:t>
      </w:r>
      <w:r w:rsidRPr="00E879A0">
        <w:rPr>
          <w:color w:val="000000" w:themeColor="text1"/>
          <w:lang w:val="en-GB"/>
        </w:rPr>
        <w:t xml:space="preserve"> - </w:t>
      </w:r>
      <w:r w:rsidR="00A259B2">
        <w:rPr>
          <w:color w:val="000000" w:themeColor="text1"/>
          <w:lang w:val="en-GB"/>
        </w:rPr>
        <w:tab/>
      </w:r>
      <w:r w:rsidR="00A259B2">
        <w:rPr>
          <w:color w:val="000000" w:themeColor="text1"/>
          <w:lang w:val="en-GB"/>
        </w:rPr>
        <w:tab/>
      </w:r>
      <w:r w:rsidRPr="00E879A0">
        <w:rPr>
          <w:color w:val="000000" w:themeColor="text1"/>
          <w:lang w:val="en-GB"/>
        </w:rPr>
        <w:t>International Prosecutor</w:t>
      </w:r>
    </w:p>
    <w:p w:rsidR="00711F6E" w:rsidRPr="00E879A0" w:rsidRDefault="00711F6E" w:rsidP="00711F6E">
      <w:pPr>
        <w:autoSpaceDE w:val="0"/>
        <w:jc w:val="both"/>
        <w:rPr>
          <w:color w:val="000000" w:themeColor="text1"/>
          <w:lang w:val="en-GB"/>
        </w:rPr>
      </w:pPr>
      <w:r w:rsidRPr="00E879A0">
        <w:rPr>
          <w:b/>
          <w:color w:val="000000" w:themeColor="text1"/>
          <w:lang w:val="en-GB"/>
        </w:rPr>
        <w:t>KFOR</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International Security Force (commonly known as Kosovo Force)</w:t>
      </w:r>
    </w:p>
    <w:p w:rsidR="00711F6E" w:rsidRDefault="00711F6E" w:rsidP="00711F6E">
      <w:pPr>
        <w:autoSpaceDE w:val="0"/>
        <w:jc w:val="both"/>
        <w:rPr>
          <w:color w:val="000000" w:themeColor="text1"/>
          <w:lang w:val="en-GB"/>
        </w:rPr>
      </w:pPr>
      <w:r w:rsidRPr="00E879A0">
        <w:rPr>
          <w:b/>
          <w:color w:val="000000" w:themeColor="text1"/>
          <w:lang w:val="en-GB"/>
        </w:rPr>
        <w:t>KLA</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Kosovo Liberation Army</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MPU </w:t>
      </w:r>
      <w:r w:rsidRPr="00E879A0">
        <w:rPr>
          <w:color w:val="000000" w:themeColor="text1"/>
          <w:lang w:val="en-GB"/>
        </w:rPr>
        <w:t xml:space="preserve">- </w:t>
      </w:r>
      <w:r w:rsidR="00A259B2">
        <w:rPr>
          <w:color w:val="000000" w:themeColor="text1"/>
          <w:lang w:val="en-GB"/>
        </w:rPr>
        <w:tab/>
      </w:r>
      <w:r w:rsidRPr="00E879A0">
        <w:rPr>
          <w:color w:val="000000" w:themeColor="text1"/>
          <w:lang w:val="en-GB"/>
        </w:rPr>
        <w:t>Missing Persons Unit</w:t>
      </w:r>
    </w:p>
    <w:p w:rsidR="00711F6E" w:rsidRPr="00E879A0" w:rsidRDefault="00711F6E" w:rsidP="00711F6E">
      <w:pPr>
        <w:autoSpaceDE w:val="0"/>
        <w:jc w:val="both"/>
        <w:rPr>
          <w:color w:val="000000" w:themeColor="text1"/>
          <w:lang w:val="en-GB"/>
        </w:rPr>
      </w:pPr>
      <w:r w:rsidRPr="00E879A0">
        <w:rPr>
          <w:b/>
          <w:color w:val="000000" w:themeColor="text1"/>
          <w:lang w:val="en-GB"/>
        </w:rPr>
        <w:t>NATO</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 xml:space="preserve">North Atlantic Treaty Organization </w:t>
      </w:r>
    </w:p>
    <w:p w:rsidR="00711F6E" w:rsidRPr="00E879A0" w:rsidRDefault="00711F6E" w:rsidP="00711F6E">
      <w:pPr>
        <w:autoSpaceDE w:val="0"/>
        <w:jc w:val="both"/>
        <w:rPr>
          <w:color w:val="000000" w:themeColor="text1"/>
          <w:lang w:val="en-GB"/>
        </w:rPr>
      </w:pPr>
      <w:r w:rsidRPr="00E879A0">
        <w:rPr>
          <w:b/>
          <w:color w:val="000000" w:themeColor="text1"/>
          <w:lang w:val="en-GB"/>
        </w:rPr>
        <w:t>OMPF</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Office on Missing Persons and Forensics</w:t>
      </w:r>
    </w:p>
    <w:p w:rsidR="00711F6E" w:rsidRPr="00E879A0" w:rsidRDefault="00711F6E" w:rsidP="00711F6E">
      <w:pPr>
        <w:autoSpaceDE w:val="0"/>
        <w:jc w:val="both"/>
        <w:rPr>
          <w:color w:val="000000" w:themeColor="text1"/>
          <w:lang w:val="en-GB"/>
        </w:rPr>
      </w:pPr>
      <w:r w:rsidRPr="00E879A0">
        <w:rPr>
          <w:b/>
          <w:color w:val="000000" w:themeColor="text1"/>
          <w:lang w:val="en-GB"/>
        </w:rPr>
        <w:t>OSCE</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Organization for Security and Cooperation in Europe</w:t>
      </w:r>
    </w:p>
    <w:p w:rsidR="00711F6E" w:rsidRPr="00C64319" w:rsidRDefault="00711F6E" w:rsidP="00711F6E">
      <w:pPr>
        <w:autoSpaceDE w:val="0"/>
        <w:jc w:val="both"/>
        <w:rPr>
          <w:color w:val="000000" w:themeColor="text1"/>
          <w:lang w:val="en-GB"/>
        </w:rPr>
      </w:pPr>
      <w:r w:rsidRPr="00E879A0">
        <w:rPr>
          <w:b/>
          <w:color w:val="000000" w:themeColor="text1"/>
          <w:lang w:val="en-GB"/>
        </w:rPr>
        <w:t>RIU</w:t>
      </w:r>
      <w:r w:rsidRPr="00E879A0">
        <w:rPr>
          <w:color w:val="000000" w:themeColor="text1"/>
          <w:lang w:val="en-GB"/>
        </w:rPr>
        <w:t xml:space="preserve"> - </w:t>
      </w:r>
      <w:r w:rsidR="00A259B2">
        <w:rPr>
          <w:color w:val="000000" w:themeColor="text1"/>
          <w:lang w:val="en-GB"/>
        </w:rPr>
        <w:tab/>
      </w:r>
      <w:r w:rsidR="00A259B2">
        <w:rPr>
          <w:color w:val="000000" w:themeColor="text1"/>
          <w:lang w:val="en-GB"/>
        </w:rPr>
        <w:tab/>
      </w:r>
      <w:r w:rsidRPr="00E879A0">
        <w:rPr>
          <w:color w:val="000000" w:themeColor="text1"/>
          <w:lang w:val="en-GB"/>
        </w:rPr>
        <w:t>Regional Investigation Unit</w:t>
      </w:r>
    </w:p>
    <w:p w:rsidR="00711F6E" w:rsidRPr="00E879A0" w:rsidRDefault="00711F6E" w:rsidP="00711F6E">
      <w:pPr>
        <w:autoSpaceDE w:val="0"/>
        <w:jc w:val="both"/>
        <w:rPr>
          <w:color w:val="000000" w:themeColor="text1"/>
          <w:lang w:val="en-GB"/>
        </w:rPr>
      </w:pPr>
      <w:r w:rsidRPr="00E879A0">
        <w:rPr>
          <w:b/>
          <w:color w:val="000000" w:themeColor="text1"/>
          <w:lang w:val="en-GB"/>
        </w:rPr>
        <w:t>SRSG</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 xml:space="preserve">Special Representative of the Secretary-General </w:t>
      </w:r>
    </w:p>
    <w:p w:rsidR="00711F6E" w:rsidRPr="00E879A0" w:rsidRDefault="00711F6E" w:rsidP="00711F6E">
      <w:pPr>
        <w:autoSpaceDE w:val="0"/>
        <w:jc w:val="both"/>
        <w:rPr>
          <w:color w:val="000000" w:themeColor="text1"/>
          <w:lang w:val="en-GB"/>
        </w:rPr>
      </w:pPr>
      <w:r w:rsidRPr="00E879A0">
        <w:rPr>
          <w:b/>
          <w:color w:val="000000" w:themeColor="text1"/>
          <w:lang w:val="en-GB"/>
        </w:rPr>
        <w:t>UN</w:t>
      </w:r>
      <w:r w:rsidRPr="00E879A0">
        <w:rPr>
          <w:color w:val="000000" w:themeColor="text1"/>
          <w:lang w:val="en-GB"/>
        </w:rPr>
        <w:t xml:space="preserve"> - </w:t>
      </w:r>
      <w:r w:rsidR="00A259B2">
        <w:rPr>
          <w:color w:val="000000" w:themeColor="text1"/>
          <w:lang w:val="en-GB"/>
        </w:rPr>
        <w:tab/>
      </w:r>
      <w:r w:rsidR="00A259B2">
        <w:rPr>
          <w:color w:val="000000" w:themeColor="text1"/>
          <w:lang w:val="en-GB"/>
        </w:rPr>
        <w:tab/>
      </w:r>
      <w:r w:rsidRPr="00E879A0">
        <w:rPr>
          <w:color w:val="000000" w:themeColor="text1"/>
          <w:lang w:val="en-GB"/>
        </w:rPr>
        <w:t>United Nations</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UNHCR </w:t>
      </w:r>
      <w:r w:rsidRPr="00E879A0">
        <w:rPr>
          <w:color w:val="000000" w:themeColor="text1"/>
          <w:lang w:val="en-GB"/>
        </w:rPr>
        <w:t xml:space="preserve">- </w:t>
      </w:r>
      <w:r w:rsidR="00A259B2">
        <w:rPr>
          <w:color w:val="000000" w:themeColor="text1"/>
          <w:lang w:val="en-GB"/>
        </w:rPr>
        <w:tab/>
      </w:r>
      <w:r w:rsidRPr="00E879A0">
        <w:rPr>
          <w:color w:val="000000" w:themeColor="text1"/>
          <w:lang w:val="en-GB"/>
        </w:rPr>
        <w:t>United Nations High Commissioner for Refugees</w:t>
      </w:r>
    </w:p>
    <w:p w:rsidR="00711F6E" w:rsidRPr="00E879A0" w:rsidRDefault="00711F6E" w:rsidP="00711F6E">
      <w:pPr>
        <w:autoSpaceDE w:val="0"/>
        <w:jc w:val="both"/>
        <w:rPr>
          <w:color w:val="000000" w:themeColor="text1"/>
          <w:lang w:val="en-GB"/>
        </w:rPr>
      </w:pPr>
      <w:r w:rsidRPr="00E879A0">
        <w:rPr>
          <w:b/>
          <w:color w:val="000000" w:themeColor="text1"/>
          <w:lang w:val="en-GB"/>
        </w:rPr>
        <w:t>UNMIK</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 xml:space="preserve">United Nations Interim Administration Mission in Kosovo </w:t>
      </w:r>
    </w:p>
    <w:p w:rsidR="00711F6E" w:rsidRPr="00E879A0" w:rsidRDefault="00711F6E" w:rsidP="00711F6E">
      <w:pPr>
        <w:autoSpaceDE w:val="0"/>
        <w:jc w:val="both"/>
        <w:rPr>
          <w:color w:val="000000" w:themeColor="text1"/>
          <w:lang w:val="en-GB"/>
        </w:rPr>
      </w:pPr>
      <w:r w:rsidRPr="00E879A0">
        <w:rPr>
          <w:b/>
          <w:color w:val="000000" w:themeColor="text1"/>
          <w:lang w:val="en-GB"/>
        </w:rPr>
        <w:t>VRIC</w:t>
      </w:r>
      <w:r w:rsidRPr="00E879A0">
        <w:rPr>
          <w:color w:val="000000" w:themeColor="text1"/>
          <w:lang w:val="en-GB"/>
        </w:rPr>
        <w:t xml:space="preserve"> - </w:t>
      </w:r>
      <w:r w:rsidR="00A259B2">
        <w:rPr>
          <w:color w:val="000000" w:themeColor="text1"/>
          <w:lang w:val="en-GB"/>
        </w:rPr>
        <w:tab/>
      </w:r>
      <w:r w:rsidRPr="00E879A0">
        <w:rPr>
          <w:color w:val="000000" w:themeColor="text1"/>
          <w:lang w:val="en-GB"/>
        </w:rPr>
        <w:t>Victim Recovery and Identification Commission</w:t>
      </w:r>
    </w:p>
    <w:p w:rsidR="00711F6E" w:rsidRPr="0043528A" w:rsidRDefault="00711F6E" w:rsidP="00711F6E">
      <w:pPr>
        <w:autoSpaceDE w:val="0"/>
        <w:jc w:val="both"/>
        <w:rPr>
          <w:color w:val="000000" w:themeColor="text1"/>
          <w:lang w:val="en-GB"/>
        </w:rPr>
      </w:pPr>
      <w:r w:rsidRPr="00E879A0">
        <w:rPr>
          <w:b/>
          <w:color w:val="000000" w:themeColor="text1"/>
          <w:lang w:val="en-GB"/>
        </w:rPr>
        <w:t xml:space="preserve">WCIU </w:t>
      </w:r>
      <w:r w:rsidRPr="00E879A0">
        <w:rPr>
          <w:color w:val="000000" w:themeColor="text1"/>
          <w:lang w:val="en-GB"/>
        </w:rPr>
        <w:t xml:space="preserve">- </w:t>
      </w:r>
      <w:r w:rsidR="00A259B2">
        <w:rPr>
          <w:color w:val="000000" w:themeColor="text1"/>
          <w:lang w:val="en-GB"/>
        </w:rPr>
        <w:tab/>
      </w:r>
      <w:r w:rsidRPr="00E879A0">
        <w:rPr>
          <w:color w:val="000000" w:themeColor="text1"/>
          <w:lang w:val="en-GB"/>
        </w:rPr>
        <w:t>War Crimes Investigation Unit</w:t>
      </w:r>
    </w:p>
    <w:p w:rsidR="00546DB5" w:rsidRPr="001F7985" w:rsidRDefault="00546DB5" w:rsidP="00711F6E">
      <w:pPr>
        <w:pStyle w:val="ListParagraph"/>
        <w:ind w:left="0"/>
        <w:rPr>
          <w:lang w:val="en-GB"/>
        </w:rPr>
      </w:pP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84" w:rsidRDefault="00BD5784">
      <w:r>
        <w:separator/>
      </w:r>
    </w:p>
  </w:endnote>
  <w:endnote w:type="continuationSeparator" w:id="0">
    <w:p w:rsidR="00BD5784" w:rsidRDefault="00BD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84" w:rsidRDefault="00BD5784">
      <w:r>
        <w:separator/>
      </w:r>
    </w:p>
  </w:footnote>
  <w:footnote w:type="continuationSeparator" w:id="0">
    <w:p w:rsidR="00BD5784" w:rsidRDefault="00BD5784">
      <w:r>
        <w:continuationSeparator/>
      </w:r>
    </w:p>
  </w:footnote>
  <w:footnote w:id="1">
    <w:p w:rsidR="00BD5784" w:rsidRPr="00D83E7B" w:rsidRDefault="00BD5784" w:rsidP="00022E69">
      <w:pPr>
        <w:pStyle w:val="FootnoteText"/>
        <w:rPr>
          <w:rFonts w:ascii="Times New Roman" w:hAnsi="Times New Roman"/>
          <w:sz w:val="20"/>
          <w:lang w:val="en-US"/>
        </w:rPr>
      </w:pPr>
      <w:r w:rsidRPr="00D83E7B">
        <w:rPr>
          <w:rStyle w:val="FootnoteReference"/>
          <w:rFonts w:ascii="Times New Roman" w:hAnsi="Times New Roman"/>
          <w:sz w:val="20"/>
        </w:rPr>
        <w:footnoteRef/>
      </w:r>
      <w:r w:rsidRPr="00D83E7B">
        <w:rPr>
          <w:rFonts w:ascii="Times New Roman" w:hAnsi="Times New Roman"/>
          <w:sz w:val="20"/>
        </w:rPr>
        <w:t xml:space="preserve"> A list of abbreviations and acronyms contained in the text can be found in the attached Annex.</w:t>
      </w:r>
    </w:p>
  </w:footnote>
  <w:footnote w:id="2">
    <w:p w:rsidR="00BD5784" w:rsidRPr="00D83E7B" w:rsidRDefault="00BD5784" w:rsidP="00680EF0">
      <w:pPr>
        <w:pStyle w:val="FootnoteText"/>
        <w:jc w:val="both"/>
        <w:rPr>
          <w:rFonts w:ascii="Times New Roman" w:hAnsi="Times New Roman"/>
          <w:sz w:val="20"/>
        </w:rPr>
      </w:pPr>
      <w:r w:rsidRPr="00D83E7B">
        <w:rPr>
          <w:rStyle w:val="FootnoteReference"/>
          <w:rFonts w:ascii="Times New Roman" w:hAnsi="Times New Roman"/>
          <w:sz w:val="20"/>
        </w:rPr>
        <w:footnoteRef/>
      </w:r>
      <w:r w:rsidRPr="00D83E7B">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D83E7B">
        <w:rPr>
          <w:rFonts w:ascii="Times New Roman" w:hAnsi="Times New Roman"/>
          <w:i/>
          <w:sz w:val="20"/>
        </w:rPr>
        <w:t xml:space="preserve"> Behrami and Behrami v. France</w:t>
      </w:r>
      <w:r w:rsidRPr="00D83E7B">
        <w:rPr>
          <w:rFonts w:ascii="Times New Roman" w:hAnsi="Times New Roman"/>
          <w:sz w:val="20"/>
        </w:rPr>
        <w:t xml:space="preserve"> and </w:t>
      </w:r>
      <w:r w:rsidRPr="00D83E7B">
        <w:rPr>
          <w:rFonts w:ascii="Times New Roman" w:hAnsi="Times New Roman"/>
          <w:i/>
          <w:sz w:val="20"/>
        </w:rPr>
        <w:t>Saramati v. France, Germany and Norway</w:t>
      </w:r>
      <w:r w:rsidRPr="00D83E7B">
        <w:rPr>
          <w:rFonts w:ascii="Times New Roman" w:hAnsi="Times New Roman"/>
          <w:sz w:val="20"/>
        </w:rPr>
        <w:t xml:space="preserve">, nos. </w:t>
      </w:r>
      <w:r w:rsidRPr="00D83E7B">
        <w:rPr>
          <w:rStyle w:val="sb8d990e2"/>
          <w:rFonts w:ascii="Times New Roman" w:hAnsi="Times New Roman"/>
          <w:sz w:val="20"/>
        </w:rPr>
        <w:t>71412/01 and</w:t>
      </w:r>
      <w:r w:rsidRPr="00D83E7B">
        <w:rPr>
          <w:rFonts w:ascii="Times New Roman" w:hAnsi="Times New Roman"/>
          <w:sz w:val="20"/>
        </w:rPr>
        <w:t xml:space="preserve"> </w:t>
      </w:r>
      <w:r w:rsidRPr="00D83E7B">
        <w:rPr>
          <w:rStyle w:val="sb8d990e2"/>
          <w:rFonts w:ascii="Times New Roman" w:hAnsi="Times New Roman"/>
          <w:sz w:val="20"/>
        </w:rPr>
        <w:t xml:space="preserve">78166/01, </w:t>
      </w:r>
      <w:r w:rsidRPr="00D83E7B">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D83E7B">
          <w:rPr>
            <w:rStyle w:val="Hyperlink"/>
            <w:rFonts w:ascii="Times New Roman" w:hAnsi="Times New Roman"/>
            <w:color w:val="auto"/>
            <w:sz w:val="20"/>
          </w:rPr>
          <w:t>www.unhchr.org</w:t>
        </w:r>
      </w:hyperlink>
      <w:r w:rsidRPr="00D83E7B">
        <w:rPr>
          <w:rFonts w:ascii="Times New Roman" w:hAnsi="Times New Roman"/>
          <w:sz w:val="20"/>
        </w:rPr>
        <w:t xml:space="preserve">) and by the International Committee of the Red Cross (available at </w:t>
      </w:r>
      <w:hyperlink r:id="rId2" w:history="1">
        <w:r w:rsidRPr="00D83E7B">
          <w:rPr>
            <w:rStyle w:val="Hyperlink"/>
            <w:rFonts w:ascii="Times New Roman" w:hAnsi="Times New Roman"/>
            <w:color w:val="auto"/>
            <w:sz w:val="20"/>
          </w:rPr>
          <w:t>http://familylinks.icrc.org/kosovo/en</w:t>
        </w:r>
      </w:hyperlink>
      <w:r w:rsidRPr="00D83E7B">
        <w:rPr>
          <w:rFonts w:ascii="Times New Roman" w:hAnsi="Times New Roman"/>
          <w:sz w:val="20"/>
        </w:rPr>
        <w:t>).</w:t>
      </w:r>
    </w:p>
  </w:footnote>
  <w:footnote w:id="3">
    <w:p w:rsidR="00BD5784" w:rsidRPr="00AB2ED0" w:rsidRDefault="00BD5784" w:rsidP="000A78D0">
      <w:pPr>
        <w:pStyle w:val="FootnoteText"/>
        <w:jc w:val="both"/>
        <w:rPr>
          <w:rFonts w:ascii="Times New Roman" w:hAnsi="Times New Roman"/>
          <w:sz w:val="20"/>
          <w:lang w:val="en-US"/>
        </w:rPr>
      </w:pPr>
      <w:r w:rsidRPr="00D83E7B">
        <w:rPr>
          <w:rStyle w:val="FootnoteReference"/>
          <w:rFonts w:ascii="Times New Roman" w:hAnsi="Times New Roman"/>
          <w:sz w:val="20"/>
        </w:rPr>
        <w:footnoteRef/>
      </w:r>
      <w:r w:rsidRPr="00D83E7B">
        <w:rPr>
          <w:rFonts w:ascii="Times New Roman" w:hAnsi="Times New Roman"/>
          <w:sz w:val="20"/>
        </w:rPr>
        <w:t xml:space="preserve"> The </w:t>
      </w:r>
      <w:r w:rsidRPr="00AB2ED0">
        <w:rPr>
          <w:rFonts w:ascii="Times New Roman" w:hAnsi="Times New Roman"/>
          <w:sz w:val="20"/>
        </w:rPr>
        <w:t>ICRC database is available at: http://familylinks.icrc.org/kosovo/en/pages/search-persons.aspx (accessed on 4 May 2015).</w:t>
      </w:r>
    </w:p>
  </w:footnote>
  <w:footnote w:id="4">
    <w:p w:rsidR="00BD5784" w:rsidRPr="00AB2ED0" w:rsidRDefault="00BD5784" w:rsidP="000A78D0">
      <w:pPr>
        <w:pStyle w:val="FootnoteText"/>
        <w:jc w:val="both"/>
        <w:rPr>
          <w:rFonts w:ascii="Times New Roman" w:hAnsi="Times New Roman"/>
          <w:sz w:val="20"/>
          <w:lang w:val="en-US"/>
        </w:rPr>
      </w:pPr>
      <w:r w:rsidRPr="00AB2ED0">
        <w:rPr>
          <w:rStyle w:val="FootnoteReference"/>
          <w:rFonts w:ascii="Times New Roman" w:hAnsi="Times New Roman"/>
          <w:sz w:val="20"/>
        </w:rPr>
        <w:footnoteRef/>
      </w:r>
      <w:r w:rsidRPr="00AB2ED0">
        <w:rPr>
          <w:rFonts w:ascii="Times New Roman" w:hAnsi="Times New Roman"/>
          <w:sz w:val="20"/>
        </w:rPr>
        <w:t xml:space="preserve"> The OMPF database is not open to public. The Panel accessed it with regard to this case on 4 May 2015.</w:t>
      </w:r>
    </w:p>
  </w:footnote>
  <w:footnote w:id="5">
    <w:p w:rsidR="00BD5784" w:rsidRPr="00AB2ED0" w:rsidRDefault="00BD5784" w:rsidP="009A6E2B">
      <w:pPr>
        <w:pStyle w:val="FootnoteText"/>
        <w:jc w:val="both"/>
        <w:rPr>
          <w:rFonts w:ascii="Times New Roman" w:hAnsi="Times New Roman"/>
          <w:sz w:val="20"/>
        </w:rPr>
      </w:pPr>
      <w:r w:rsidRPr="00AB2ED0">
        <w:rPr>
          <w:rStyle w:val="FootnoteReference"/>
          <w:rFonts w:ascii="Times New Roman" w:hAnsi="Times New Roman"/>
          <w:sz w:val="20"/>
        </w:rPr>
        <w:footnoteRef/>
      </w:r>
      <w:r w:rsidRPr="00AB2ED0">
        <w:rPr>
          <w:rFonts w:ascii="Times New Roman" w:hAnsi="Times New Roman"/>
          <w:sz w:val="20"/>
        </w:rPr>
        <w:t xml:space="preserve"> The ICMP database is available at:  </w:t>
      </w:r>
      <w:hyperlink r:id="rId3" w:history="1">
        <w:r w:rsidRPr="00AB2ED0">
          <w:rPr>
            <w:rStyle w:val="Hyperlink"/>
            <w:rFonts w:ascii="Times New Roman" w:hAnsi="Times New Roman"/>
            <w:color w:val="auto"/>
            <w:sz w:val="20"/>
          </w:rPr>
          <w:t>http://www.ic-mp.org/fdmsweb/index.php?w=mp_details&amp;l=en</w:t>
        </w:r>
      </w:hyperlink>
      <w:r w:rsidRPr="00AB2ED0">
        <w:rPr>
          <w:rFonts w:ascii="Times New Roman" w:hAnsi="Times New Roman"/>
          <w:sz w:val="20"/>
        </w:rPr>
        <w:t xml:space="preserve"> (accessed on 4 May 2015).</w:t>
      </w:r>
    </w:p>
  </w:footnote>
  <w:footnote w:id="6">
    <w:p w:rsidR="00BD5784" w:rsidRPr="00D83E7B" w:rsidRDefault="00BD5784">
      <w:pPr>
        <w:pStyle w:val="FootnoteText"/>
        <w:rPr>
          <w:rFonts w:ascii="Times New Roman" w:hAnsi="Times New Roman"/>
          <w:sz w:val="20"/>
          <w:lang w:val="en-US"/>
        </w:rPr>
      </w:pPr>
      <w:r w:rsidRPr="00AB2ED0">
        <w:rPr>
          <w:rStyle w:val="FootnoteReference"/>
          <w:rFonts w:ascii="Times New Roman" w:hAnsi="Times New Roman"/>
          <w:sz w:val="20"/>
        </w:rPr>
        <w:footnoteRef/>
      </w:r>
      <w:r w:rsidRPr="00AB2ED0">
        <w:rPr>
          <w:rFonts w:ascii="Times New Roman" w:hAnsi="Times New Roman"/>
          <w:sz w:val="20"/>
          <w:vertAlign w:val="superscript"/>
        </w:rPr>
        <w:t xml:space="preserve"> </w:t>
      </w:r>
      <w:r w:rsidRPr="00AB2ED0">
        <w:rPr>
          <w:rFonts w:ascii="Times New Roman" w:hAnsi="Times New Roman"/>
          <w:sz w:val="20"/>
          <w:lang w:val="en-US"/>
        </w:rPr>
        <w:t>There is a discrepancy</w:t>
      </w:r>
      <w:r w:rsidRPr="00D83E7B">
        <w:rPr>
          <w:rFonts w:ascii="Times New Roman" w:hAnsi="Times New Roman"/>
          <w:sz w:val="20"/>
          <w:lang w:val="en-US"/>
        </w:rPr>
        <w:t xml:space="preserve"> between this date of disappearance and the date provided by the MPU document, which lists their date of disappearance as being 13-15 July </w:t>
      </w:r>
      <w:r w:rsidRPr="00AB2ED0">
        <w:rPr>
          <w:rFonts w:ascii="Times New Roman" w:hAnsi="Times New Roman"/>
          <w:sz w:val="20"/>
          <w:lang w:val="en-US"/>
        </w:rPr>
        <w:t xml:space="preserve">1999 (see § </w:t>
      </w:r>
      <w:r w:rsidRPr="00AB2ED0">
        <w:rPr>
          <w:rFonts w:ascii="Times New Roman" w:hAnsi="Times New Roman"/>
          <w:sz w:val="20"/>
          <w:lang w:val="en-US"/>
        </w:rPr>
        <w:fldChar w:fldCharType="begin"/>
      </w:r>
      <w:r w:rsidRPr="00AB2ED0">
        <w:rPr>
          <w:rFonts w:ascii="Times New Roman" w:hAnsi="Times New Roman"/>
          <w:sz w:val="20"/>
          <w:lang w:val="en-US"/>
        </w:rPr>
        <w:instrText xml:space="preserve"> REF _Ref418151284 \r \h  \* MERGEFORMAT </w:instrText>
      </w:r>
      <w:r w:rsidRPr="00AB2ED0">
        <w:rPr>
          <w:rFonts w:ascii="Times New Roman" w:hAnsi="Times New Roman"/>
          <w:sz w:val="20"/>
          <w:lang w:val="en-US"/>
        </w:rPr>
      </w:r>
      <w:r w:rsidRPr="00AB2ED0">
        <w:rPr>
          <w:rFonts w:ascii="Times New Roman" w:hAnsi="Times New Roman"/>
          <w:sz w:val="20"/>
          <w:lang w:val="en-US"/>
        </w:rPr>
        <w:fldChar w:fldCharType="separate"/>
      </w:r>
      <w:r>
        <w:rPr>
          <w:rFonts w:ascii="Times New Roman" w:hAnsi="Times New Roman"/>
          <w:sz w:val="20"/>
          <w:lang w:val="en-US"/>
        </w:rPr>
        <w:t>28</w:t>
      </w:r>
      <w:r w:rsidRPr="00AB2ED0">
        <w:rPr>
          <w:rFonts w:ascii="Times New Roman" w:hAnsi="Times New Roman"/>
          <w:sz w:val="20"/>
          <w:lang w:val="en-US"/>
        </w:rPr>
        <w:fldChar w:fldCharType="end"/>
      </w:r>
      <w:r w:rsidRPr="00AB2ED0">
        <w:rPr>
          <w:rFonts w:ascii="Times New Roman" w:hAnsi="Times New Roman"/>
          <w:sz w:val="20"/>
          <w:lang w:val="en-US"/>
        </w:rPr>
        <w:t xml:space="preserve"> below</w:t>
      </w:r>
      <w:r w:rsidRPr="00D83E7B">
        <w:rPr>
          <w:rFonts w:ascii="Times New Roman" w:hAnsi="Times New Roman"/>
          <w:sz w:val="20"/>
          <w:lang w:val="en-US"/>
        </w:rPr>
        <w:t>).</w:t>
      </w:r>
    </w:p>
  </w:footnote>
  <w:footnote w:id="7">
    <w:p w:rsidR="00BD5784" w:rsidRPr="0076548B" w:rsidRDefault="00BD5784">
      <w:pPr>
        <w:pStyle w:val="FootnoteText"/>
        <w:rPr>
          <w:lang w:val="en-US"/>
        </w:rPr>
      </w:pPr>
      <w:r>
        <w:rPr>
          <w:rStyle w:val="FootnoteReference"/>
        </w:rPr>
        <w:footnoteRef/>
      </w:r>
      <w:r>
        <w:t xml:space="preserve"> </w:t>
      </w:r>
      <w:r w:rsidRPr="0076548B">
        <w:rPr>
          <w:rFonts w:ascii="Times New Roman" w:hAnsi="Times New Roman"/>
          <w:sz w:val="20"/>
          <w:lang w:val="en-US"/>
        </w:rPr>
        <w:t>Original grammar preserved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84" w:rsidRPr="000722CE" w:rsidRDefault="00BD5784">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5D258A">
      <w:rPr>
        <w:noProof/>
        <w:sz w:val="20"/>
        <w:szCs w:val="20"/>
      </w:rPr>
      <w:t>34</w:t>
    </w:r>
    <w:r w:rsidRPr="000722CE">
      <w:rPr>
        <w:sz w:val="20"/>
        <w:szCs w:val="20"/>
      </w:rPr>
      <w:fldChar w:fldCharType="end"/>
    </w:r>
  </w:p>
  <w:p w:rsidR="00BD5784" w:rsidRDefault="00BD5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039FF"/>
    <w:multiLevelType w:val="hybridMultilevel"/>
    <w:tmpl w:val="4FDC18B8"/>
    <w:lvl w:ilvl="0" w:tplc="9CD2CCB4">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7"/>
  </w:num>
  <w:num w:numId="5">
    <w:abstractNumId w:val="11"/>
  </w:num>
  <w:num w:numId="6">
    <w:abstractNumId w:val="2"/>
  </w:num>
  <w:num w:numId="7">
    <w:abstractNumId w:val="9"/>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4"/>
  </w:num>
  <w:num w:numId="1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CDA"/>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477EB"/>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65B1"/>
    <w:rsid w:val="000875E1"/>
    <w:rsid w:val="000900F6"/>
    <w:rsid w:val="00091C96"/>
    <w:rsid w:val="0009345C"/>
    <w:rsid w:val="00094DD4"/>
    <w:rsid w:val="00094FA3"/>
    <w:rsid w:val="000958B3"/>
    <w:rsid w:val="000A21A8"/>
    <w:rsid w:val="000A233E"/>
    <w:rsid w:val="000A4208"/>
    <w:rsid w:val="000A49BC"/>
    <w:rsid w:val="000A4C40"/>
    <w:rsid w:val="000A65EB"/>
    <w:rsid w:val="000A6E33"/>
    <w:rsid w:val="000A7439"/>
    <w:rsid w:val="000A78D0"/>
    <w:rsid w:val="000B133A"/>
    <w:rsid w:val="000B139B"/>
    <w:rsid w:val="000B46F6"/>
    <w:rsid w:val="000B51F2"/>
    <w:rsid w:val="000B5C31"/>
    <w:rsid w:val="000C00BD"/>
    <w:rsid w:val="000C0B29"/>
    <w:rsid w:val="000C2AEF"/>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475D"/>
    <w:rsid w:val="000F50F0"/>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2F00"/>
    <w:rsid w:val="00123F99"/>
    <w:rsid w:val="001279D7"/>
    <w:rsid w:val="00133592"/>
    <w:rsid w:val="00134D73"/>
    <w:rsid w:val="001350FB"/>
    <w:rsid w:val="001403C2"/>
    <w:rsid w:val="00140481"/>
    <w:rsid w:val="0014048A"/>
    <w:rsid w:val="0014335B"/>
    <w:rsid w:val="001449C9"/>
    <w:rsid w:val="00144AF1"/>
    <w:rsid w:val="0014568C"/>
    <w:rsid w:val="00145983"/>
    <w:rsid w:val="00146524"/>
    <w:rsid w:val="001512A5"/>
    <w:rsid w:val="001512EA"/>
    <w:rsid w:val="001530BE"/>
    <w:rsid w:val="00153694"/>
    <w:rsid w:val="00153D95"/>
    <w:rsid w:val="00154325"/>
    <w:rsid w:val="00154829"/>
    <w:rsid w:val="00154E5E"/>
    <w:rsid w:val="00155F50"/>
    <w:rsid w:val="00160C72"/>
    <w:rsid w:val="0016154E"/>
    <w:rsid w:val="00161CC5"/>
    <w:rsid w:val="001642C0"/>
    <w:rsid w:val="00164407"/>
    <w:rsid w:val="0016631D"/>
    <w:rsid w:val="00166DB7"/>
    <w:rsid w:val="00167450"/>
    <w:rsid w:val="00171AFB"/>
    <w:rsid w:val="00171E19"/>
    <w:rsid w:val="001727C1"/>
    <w:rsid w:val="00172B14"/>
    <w:rsid w:val="001730D5"/>
    <w:rsid w:val="001732BF"/>
    <w:rsid w:val="00173F75"/>
    <w:rsid w:val="00176699"/>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7F8"/>
    <w:rsid w:val="001A5F6B"/>
    <w:rsid w:val="001A6816"/>
    <w:rsid w:val="001A7437"/>
    <w:rsid w:val="001B155D"/>
    <w:rsid w:val="001B1A1A"/>
    <w:rsid w:val="001B241F"/>
    <w:rsid w:val="001B44B7"/>
    <w:rsid w:val="001B4620"/>
    <w:rsid w:val="001B4F35"/>
    <w:rsid w:val="001B6B46"/>
    <w:rsid w:val="001B768F"/>
    <w:rsid w:val="001B7E46"/>
    <w:rsid w:val="001C0F0F"/>
    <w:rsid w:val="001C2229"/>
    <w:rsid w:val="001C238F"/>
    <w:rsid w:val="001C6555"/>
    <w:rsid w:val="001D031A"/>
    <w:rsid w:val="001D2C42"/>
    <w:rsid w:val="001D311B"/>
    <w:rsid w:val="001D3C35"/>
    <w:rsid w:val="001D45F5"/>
    <w:rsid w:val="001D4A00"/>
    <w:rsid w:val="001D5261"/>
    <w:rsid w:val="001D5F2F"/>
    <w:rsid w:val="001D6CAC"/>
    <w:rsid w:val="001D73A9"/>
    <w:rsid w:val="001D7A5D"/>
    <w:rsid w:val="001D7B8E"/>
    <w:rsid w:val="001E0730"/>
    <w:rsid w:val="001E0D8A"/>
    <w:rsid w:val="001E11FB"/>
    <w:rsid w:val="001E2A7D"/>
    <w:rsid w:val="001E2DC6"/>
    <w:rsid w:val="001E3D4F"/>
    <w:rsid w:val="001E40A0"/>
    <w:rsid w:val="001E5241"/>
    <w:rsid w:val="001E5F6A"/>
    <w:rsid w:val="001E6809"/>
    <w:rsid w:val="001E69F5"/>
    <w:rsid w:val="001F0511"/>
    <w:rsid w:val="001F1FF3"/>
    <w:rsid w:val="001F27D0"/>
    <w:rsid w:val="001F3585"/>
    <w:rsid w:val="001F36C9"/>
    <w:rsid w:val="001F3C32"/>
    <w:rsid w:val="001F3D3B"/>
    <w:rsid w:val="001F4AC3"/>
    <w:rsid w:val="001F6A62"/>
    <w:rsid w:val="001F7985"/>
    <w:rsid w:val="001F7B37"/>
    <w:rsid w:val="00201CB5"/>
    <w:rsid w:val="00202598"/>
    <w:rsid w:val="00202F90"/>
    <w:rsid w:val="00203109"/>
    <w:rsid w:val="00203FF4"/>
    <w:rsid w:val="002070ED"/>
    <w:rsid w:val="002074D2"/>
    <w:rsid w:val="00207662"/>
    <w:rsid w:val="00207EF6"/>
    <w:rsid w:val="002119C2"/>
    <w:rsid w:val="002130E6"/>
    <w:rsid w:val="0021476D"/>
    <w:rsid w:val="002147F2"/>
    <w:rsid w:val="00215EA8"/>
    <w:rsid w:val="00221B7A"/>
    <w:rsid w:val="00222D2F"/>
    <w:rsid w:val="002254B1"/>
    <w:rsid w:val="00225BAB"/>
    <w:rsid w:val="002274C0"/>
    <w:rsid w:val="00231A61"/>
    <w:rsid w:val="00231EE6"/>
    <w:rsid w:val="0023308F"/>
    <w:rsid w:val="0023537F"/>
    <w:rsid w:val="002360DA"/>
    <w:rsid w:val="002361C0"/>
    <w:rsid w:val="00236A14"/>
    <w:rsid w:val="00237A05"/>
    <w:rsid w:val="00242881"/>
    <w:rsid w:val="002437E9"/>
    <w:rsid w:val="00243A63"/>
    <w:rsid w:val="002443C3"/>
    <w:rsid w:val="002471CF"/>
    <w:rsid w:val="002473B8"/>
    <w:rsid w:val="00247A9D"/>
    <w:rsid w:val="00250C69"/>
    <w:rsid w:val="0025147D"/>
    <w:rsid w:val="00251D80"/>
    <w:rsid w:val="002524AF"/>
    <w:rsid w:val="00252B9E"/>
    <w:rsid w:val="002539EF"/>
    <w:rsid w:val="0025400A"/>
    <w:rsid w:val="00255130"/>
    <w:rsid w:val="00255D57"/>
    <w:rsid w:val="00260384"/>
    <w:rsid w:val="002617F1"/>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138"/>
    <w:rsid w:val="00284A77"/>
    <w:rsid w:val="00285F55"/>
    <w:rsid w:val="0028685C"/>
    <w:rsid w:val="00287CA7"/>
    <w:rsid w:val="00291D60"/>
    <w:rsid w:val="00294415"/>
    <w:rsid w:val="002948A6"/>
    <w:rsid w:val="00296C0B"/>
    <w:rsid w:val="00296DF3"/>
    <w:rsid w:val="002A18D6"/>
    <w:rsid w:val="002A1DEC"/>
    <w:rsid w:val="002A29A6"/>
    <w:rsid w:val="002A4749"/>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E6AB6"/>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08E0"/>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49EE"/>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85EAF"/>
    <w:rsid w:val="0038684A"/>
    <w:rsid w:val="003905A1"/>
    <w:rsid w:val="00390AE0"/>
    <w:rsid w:val="003931B9"/>
    <w:rsid w:val="0039337A"/>
    <w:rsid w:val="003936AC"/>
    <w:rsid w:val="00393E7A"/>
    <w:rsid w:val="00393E8D"/>
    <w:rsid w:val="0039675C"/>
    <w:rsid w:val="003A0AF8"/>
    <w:rsid w:val="003A2EBD"/>
    <w:rsid w:val="003A3B1C"/>
    <w:rsid w:val="003A3EA5"/>
    <w:rsid w:val="003A3EAA"/>
    <w:rsid w:val="003A4BA6"/>
    <w:rsid w:val="003A658C"/>
    <w:rsid w:val="003A7B8B"/>
    <w:rsid w:val="003A7D9E"/>
    <w:rsid w:val="003B0328"/>
    <w:rsid w:val="003B04CE"/>
    <w:rsid w:val="003B1C80"/>
    <w:rsid w:val="003B1F5E"/>
    <w:rsid w:val="003B2010"/>
    <w:rsid w:val="003B29DC"/>
    <w:rsid w:val="003B3907"/>
    <w:rsid w:val="003B43F3"/>
    <w:rsid w:val="003B5FD2"/>
    <w:rsid w:val="003B7650"/>
    <w:rsid w:val="003C080C"/>
    <w:rsid w:val="003C12D0"/>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11A"/>
    <w:rsid w:val="003F02E5"/>
    <w:rsid w:val="003F02F9"/>
    <w:rsid w:val="003F1FC4"/>
    <w:rsid w:val="003F3442"/>
    <w:rsid w:val="003F4D2F"/>
    <w:rsid w:val="003F53A4"/>
    <w:rsid w:val="003F54A4"/>
    <w:rsid w:val="003F5D1D"/>
    <w:rsid w:val="003F6AD6"/>
    <w:rsid w:val="003F7337"/>
    <w:rsid w:val="003F733F"/>
    <w:rsid w:val="003F7C2B"/>
    <w:rsid w:val="00400CED"/>
    <w:rsid w:val="0040170D"/>
    <w:rsid w:val="00401FD2"/>
    <w:rsid w:val="00402699"/>
    <w:rsid w:val="00402B8F"/>
    <w:rsid w:val="004033CB"/>
    <w:rsid w:val="00405334"/>
    <w:rsid w:val="00405C17"/>
    <w:rsid w:val="0041262D"/>
    <w:rsid w:val="00414BA2"/>
    <w:rsid w:val="00415BE5"/>
    <w:rsid w:val="004162BE"/>
    <w:rsid w:val="00420088"/>
    <w:rsid w:val="004202B2"/>
    <w:rsid w:val="00422729"/>
    <w:rsid w:val="00423598"/>
    <w:rsid w:val="0042549A"/>
    <w:rsid w:val="00427A31"/>
    <w:rsid w:val="0043016C"/>
    <w:rsid w:val="00430BBE"/>
    <w:rsid w:val="00430D9E"/>
    <w:rsid w:val="00433154"/>
    <w:rsid w:val="0043400E"/>
    <w:rsid w:val="00434BB6"/>
    <w:rsid w:val="0043575D"/>
    <w:rsid w:val="0044072F"/>
    <w:rsid w:val="00440903"/>
    <w:rsid w:val="00440E88"/>
    <w:rsid w:val="0044246C"/>
    <w:rsid w:val="00443568"/>
    <w:rsid w:val="00445981"/>
    <w:rsid w:val="00445EAD"/>
    <w:rsid w:val="0044617E"/>
    <w:rsid w:val="00452920"/>
    <w:rsid w:val="004534C4"/>
    <w:rsid w:val="00455594"/>
    <w:rsid w:val="0045684F"/>
    <w:rsid w:val="00456871"/>
    <w:rsid w:val="00461097"/>
    <w:rsid w:val="00462146"/>
    <w:rsid w:val="00466DCF"/>
    <w:rsid w:val="00466E32"/>
    <w:rsid w:val="004714D9"/>
    <w:rsid w:val="00472580"/>
    <w:rsid w:val="00472DFF"/>
    <w:rsid w:val="00472E09"/>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10F"/>
    <w:rsid w:val="004F45E5"/>
    <w:rsid w:val="004F71FD"/>
    <w:rsid w:val="004F77C7"/>
    <w:rsid w:val="005006CB"/>
    <w:rsid w:val="005009F9"/>
    <w:rsid w:val="00503BB3"/>
    <w:rsid w:val="00505C47"/>
    <w:rsid w:val="005077B1"/>
    <w:rsid w:val="005125E2"/>
    <w:rsid w:val="00512BF7"/>
    <w:rsid w:val="00514229"/>
    <w:rsid w:val="00514BCF"/>
    <w:rsid w:val="00514F78"/>
    <w:rsid w:val="00516234"/>
    <w:rsid w:val="00516F75"/>
    <w:rsid w:val="0052139E"/>
    <w:rsid w:val="00522823"/>
    <w:rsid w:val="00523367"/>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5F02"/>
    <w:rsid w:val="00566413"/>
    <w:rsid w:val="00566ACD"/>
    <w:rsid w:val="00570CB4"/>
    <w:rsid w:val="00572199"/>
    <w:rsid w:val="0057242B"/>
    <w:rsid w:val="0057242F"/>
    <w:rsid w:val="005724AA"/>
    <w:rsid w:val="005728B8"/>
    <w:rsid w:val="00574094"/>
    <w:rsid w:val="005742AF"/>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E66"/>
    <w:rsid w:val="005974B2"/>
    <w:rsid w:val="005A068B"/>
    <w:rsid w:val="005A1063"/>
    <w:rsid w:val="005A1E72"/>
    <w:rsid w:val="005A21F6"/>
    <w:rsid w:val="005A236E"/>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58A"/>
    <w:rsid w:val="005D2F19"/>
    <w:rsid w:val="005D3669"/>
    <w:rsid w:val="005D3ED0"/>
    <w:rsid w:val="005D5F1A"/>
    <w:rsid w:val="005E25A2"/>
    <w:rsid w:val="005E361B"/>
    <w:rsid w:val="005E37C5"/>
    <w:rsid w:val="005E37CD"/>
    <w:rsid w:val="005E403F"/>
    <w:rsid w:val="005E4930"/>
    <w:rsid w:val="005E6E2D"/>
    <w:rsid w:val="005E7C8F"/>
    <w:rsid w:val="005F096E"/>
    <w:rsid w:val="005F0A19"/>
    <w:rsid w:val="005F4187"/>
    <w:rsid w:val="005F67F5"/>
    <w:rsid w:val="005F686D"/>
    <w:rsid w:val="005F689D"/>
    <w:rsid w:val="005F6DB3"/>
    <w:rsid w:val="005F742B"/>
    <w:rsid w:val="00603A86"/>
    <w:rsid w:val="00603C7F"/>
    <w:rsid w:val="00603D49"/>
    <w:rsid w:val="00605915"/>
    <w:rsid w:val="00606C3D"/>
    <w:rsid w:val="00607A6D"/>
    <w:rsid w:val="006111E0"/>
    <w:rsid w:val="00612698"/>
    <w:rsid w:val="00612EEF"/>
    <w:rsid w:val="00615374"/>
    <w:rsid w:val="00616A11"/>
    <w:rsid w:val="00617352"/>
    <w:rsid w:val="006205AF"/>
    <w:rsid w:val="00621EDB"/>
    <w:rsid w:val="00622236"/>
    <w:rsid w:val="0062454F"/>
    <w:rsid w:val="00626D88"/>
    <w:rsid w:val="00627BF9"/>
    <w:rsid w:val="00627C8E"/>
    <w:rsid w:val="0063039E"/>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6392"/>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3DF"/>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3E7C"/>
    <w:rsid w:val="006E61AD"/>
    <w:rsid w:val="006E6458"/>
    <w:rsid w:val="006E6658"/>
    <w:rsid w:val="006E6FD9"/>
    <w:rsid w:val="006F08BF"/>
    <w:rsid w:val="006F1710"/>
    <w:rsid w:val="006F185F"/>
    <w:rsid w:val="006F3248"/>
    <w:rsid w:val="006F3551"/>
    <w:rsid w:val="006F35D0"/>
    <w:rsid w:val="006F38CB"/>
    <w:rsid w:val="006F4F29"/>
    <w:rsid w:val="006F5AEE"/>
    <w:rsid w:val="00701BF3"/>
    <w:rsid w:val="00703CEB"/>
    <w:rsid w:val="007047D9"/>
    <w:rsid w:val="007052E9"/>
    <w:rsid w:val="007113B1"/>
    <w:rsid w:val="00711C23"/>
    <w:rsid w:val="00711F6E"/>
    <w:rsid w:val="00712081"/>
    <w:rsid w:val="00712F51"/>
    <w:rsid w:val="00713389"/>
    <w:rsid w:val="00713D84"/>
    <w:rsid w:val="00717451"/>
    <w:rsid w:val="00717EFD"/>
    <w:rsid w:val="00722152"/>
    <w:rsid w:val="007226EA"/>
    <w:rsid w:val="0072411F"/>
    <w:rsid w:val="00724AC2"/>
    <w:rsid w:val="00724F0F"/>
    <w:rsid w:val="007262D2"/>
    <w:rsid w:val="007268E7"/>
    <w:rsid w:val="007270F4"/>
    <w:rsid w:val="007339BC"/>
    <w:rsid w:val="00734B20"/>
    <w:rsid w:val="00735744"/>
    <w:rsid w:val="0074176D"/>
    <w:rsid w:val="00741861"/>
    <w:rsid w:val="0074205E"/>
    <w:rsid w:val="007421B8"/>
    <w:rsid w:val="007424FB"/>
    <w:rsid w:val="00743572"/>
    <w:rsid w:val="00743F72"/>
    <w:rsid w:val="00745771"/>
    <w:rsid w:val="0075283E"/>
    <w:rsid w:val="00752CBA"/>
    <w:rsid w:val="00752CDF"/>
    <w:rsid w:val="00752E80"/>
    <w:rsid w:val="0075317B"/>
    <w:rsid w:val="00754113"/>
    <w:rsid w:val="007551D8"/>
    <w:rsid w:val="00755247"/>
    <w:rsid w:val="00756CC0"/>
    <w:rsid w:val="0076188F"/>
    <w:rsid w:val="00761AE8"/>
    <w:rsid w:val="007645ED"/>
    <w:rsid w:val="00764A51"/>
    <w:rsid w:val="00764AE3"/>
    <w:rsid w:val="00764FB4"/>
    <w:rsid w:val="0076548B"/>
    <w:rsid w:val="0076572E"/>
    <w:rsid w:val="00767CBA"/>
    <w:rsid w:val="0077155C"/>
    <w:rsid w:val="00773988"/>
    <w:rsid w:val="00773E03"/>
    <w:rsid w:val="00775F66"/>
    <w:rsid w:val="007766DD"/>
    <w:rsid w:val="00780319"/>
    <w:rsid w:val="007805BB"/>
    <w:rsid w:val="007805FB"/>
    <w:rsid w:val="00781C73"/>
    <w:rsid w:val="007833CF"/>
    <w:rsid w:val="00783B48"/>
    <w:rsid w:val="00784973"/>
    <w:rsid w:val="00784C56"/>
    <w:rsid w:val="00784E54"/>
    <w:rsid w:val="00785097"/>
    <w:rsid w:val="00787BE3"/>
    <w:rsid w:val="0079425A"/>
    <w:rsid w:val="00795BB4"/>
    <w:rsid w:val="00797093"/>
    <w:rsid w:val="007A4CC9"/>
    <w:rsid w:val="007A510C"/>
    <w:rsid w:val="007A59FF"/>
    <w:rsid w:val="007A5EE7"/>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DD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4AB"/>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CCC"/>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4D52"/>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4D10"/>
    <w:rsid w:val="0088517F"/>
    <w:rsid w:val="008856A3"/>
    <w:rsid w:val="00885816"/>
    <w:rsid w:val="00886BEF"/>
    <w:rsid w:val="00886EDE"/>
    <w:rsid w:val="00887FE3"/>
    <w:rsid w:val="008917D7"/>
    <w:rsid w:val="0089240E"/>
    <w:rsid w:val="00893462"/>
    <w:rsid w:val="0089406E"/>
    <w:rsid w:val="008940D8"/>
    <w:rsid w:val="00894572"/>
    <w:rsid w:val="008951D3"/>
    <w:rsid w:val="008953F1"/>
    <w:rsid w:val="00896B22"/>
    <w:rsid w:val="00896D39"/>
    <w:rsid w:val="0089736A"/>
    <w:rsid w:val="008978E2"/>
    <w:rsid w:val="00897911"/>
    <w:rsid w:val="008A1049"/>
    <w:rsid w:val="008A32D9"/>
    <w:rsid w:val="008A35F7"/>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5FB6"/>
    <w:rsid w:val="008C61C8"/>
    <w:rsid w:val="008D136A"/>
    <w:rsid w:val="008D1B18"/>
    <w:rsid w:val="008D3411"/>
    <w:rsid w:val="008D3755"/>
    <w:rsid w:val="008D5CBD"/>
    <w:rsid w:val="008D6EF2"/>
    <w:rsid w:val="008E057A"/>
    <w:rsid w:val="008E1A88"/>
    <w:rsid w:val="008E20B9"/>
    <w:rsid w:val="008E3F48"/>
    <w:rsid w:val="008E4C8E"/>
    <w:rsid w:val="008E61A6"/>
    <w:rsid w:val="008E6918"/>
    <w:rsid w:val="008E71FD"/>
    <w:rsid w:val="008F03DC"/>
    <w:rsid w:val="008F147E"/>
    <w:rsid w:val="008F155C"/>
    <w:rsid w:val="008F23E7"/>
    <w:rsid w:val="008F2AA2"/>
    <w:rsid w:val="008F2DCD"/>
    <w:rsid w:val="008F30A1"/>
    <w:rsid w:val="008F490D"/>
    <w:rsid w:val="008F7CC9"/>
    <w:rsid w:val="00900AAF"/>
    <w:rsid w:val="0090154E"/>
    <w:rsid w:val="00901792"/>
    <w:rsid w:val="00901E52"/>
    <w:rsid w:val="009036E8"/>
    <w:rsid w:val="009045A8"/>
    <w:rsid w:val="00910794"/>
    <w:rsid w:val="009111BF"/>
    <w:rsid w:val="00911C44"/>
    <w:rsid w:val="00911EF6"/>
    <w:rsid w:val="00911F3F"/>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02AF"/>
    <w:rsid w:val="00965189"/>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1DCC"/>
    <w:rsid w:val="009923E7"/>
    <w:rsid w:val="009927FB"/>
    <w:rsid w:val="00994207"/>
    <w:rsid w:val="00994262"/>
    <w:rsid w:val="0099493F"/>
    <w:rsid w:val="00994974"/>
    <w:rsid w:val="00997CBB"/>
    <w:rsid w:val="00997D32"/>
    <w:rsid w:val="00997F7E"/>
    <w:rsid w:val="009A0604"/>
    <w:rsid w:val="009A2285"/>
    <w:rsid w:val="009A26A1"/>
    <w:rsid w:val="009A2EAB"/>
    <w:rsid w:val="009A561D"/>
    <w:rsid w:val="009A63E1"/>
    <w:rsid w:val="009A66F2"/>
    <w:rsid w:val="009A6E2B"/>
    <w:rsid w:val="009B0218"/>
    <w:rsid w:val="009B13C1"/>
    <w:rsid w:val="009B47ED"/>
    <w:rsid w:val="009B49EF"/>
    <w:rsid w:val="009B4CF8"/>
    <w:rsid w:val="009B4D35"/>
    <w:rsid w:val="009B66ED"/>
    <w:rsid w:val="009B7540"/>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0FD6"/>
    <w:rsid w:val="009D27AD"/>
    <w:rsid w:val="009D4828"/>
    <w:rsid w:val="009D5130"/>
    <w:rsid w:val="009D5C9F"/>
    <w:rsid w:val="009D707F"/>
    <w:rsid w:val="009D7762"/>
    <w:rsid w:val="009D7E10"/>
    <w:rsid w:val="009E0847"/>
    <w:rsid w:val="009E1487"/>
    <w:rsid w:val="009E17E8"/>
    <w:rsid w:val="009E1CA5"/>
    <w:rsid w:val="009E1DBF"/>
    <w:rsid w:val="009E5B51"/>
    <w:rsid w:val="009E6063"/>
    <w:rsid w:val="009E60B0"/>
    <w:rsid w:val="009E6742"/>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1A8F"/>
    <w:rsid w:val="00A11F3A"/>
    <w:rsid w:val="00A12C99"/>
    <w:rsid w:val="00A13072"/>
    <w:rsid w:val="00A152E2"/>
    <w:rsid w:val="00A16F56"/>
    <w:rsid w:val="00A220BC"/>
    <w:rsid w:val="00A221B9"/>
    <w:rsid w:val="00A23A87"/>
    <w:rsid w:val="00A24033"/>
    <w:rsid w:val="00A24507"/>
    <w:rsid w:val="00A25273"/>
    <w:rsid w:val="00A25496"/>
    <w:rsid w:val="00A259B2"/>
    <w:rsid w:val="00A30113"/>
    <w:rsid w:val="00A30137"/>
    <w:rsid w:val="00A30F7A"/>
    <w:rsid w:val="00A32181"/>
    <w:rsid w:val="00A3533C"/>
    <w:rsid w:val="00A37832"/>
    <w:rsid w:val="00A4015C"/>
    <w:rsid w:val="00A40F98"/>
    <w:rsid w:val="00A42AEA"/>
    <w:rsid w:val="00A437DF"/>
    <w:rsid w:val="00A43AA7"/>
    <w:rsid w:val="00A445B9"/>
    <w:rsid w:val="00A44619"/>
    <w:rsid w:val="00A44907"/>
    <w:rsid w:val="00A451D7"/>
    <w:rsid w:val="00A465CD"/>
    <w:rsid w:val="00A4758F"/>
    <w:rsid w:val="00A477BD"/>
    <w:rsid w:val="00A47B30"/>
    <w:rsid w:val="00A51E90"/>
    <w:rsid w:val="00A533F3"/>
    <w:rsid w:val="00A5380D"/>
    <w:rsid w:val="00A5402E"/>
    <w:rsid w:val="00A549B8"/>
    <w:rsid w:val="00A5683F"/>
    <w:rsid w:val="00A56D97"/>
    <w:rsid w:val="00A6154B"/>
    <w:rsid w:val="00A61E60"/>
    <w:rsid w:val="00A62C6D"/>
    <w:rsid w:val="00A63E76"/>
    <w:rsid w:val="00A64166"/>
    <w:rsid w:val="00A66705"/>
    <w:rsid w:val="00A66B52"/>
    <w:rsid w:val="00A67319"/>
    <w:rsid w:val="00A673B2"/>
    <w:rsid w:val="00A67D9F"/>
    <w:rsid w:val="00A70D0F"/>
    <w:rsid w:val="00A73A2A"/>
    <w:rsid w:val="00A73D67"/>
    <w:rsid w:val="00A8238B"/>
    <w:rsid w:val="00A82736"/>
    <w:rsid w:val="00A832A3"/>
    <w:rsid w:val="00A835D5"/>
    <w:rsid w:val="00A85275"/>
    <w:rsid w:val="00A866A1"/>
    <w:rsid w:val="00A87786"/>
    <w:rsid w:val="00A914FB"/>
    <w:rsid w:val="00A926CD"/>
    <w:rsid w:val="00A92BCC"/>
    <w:rsid w:val="00A93A3D"/>
    <w:rsid w:val="00A93C43"/>
    <w:rsid w:val="00A94D41"/>
    <w:rsid w:val="00A9546C"/>
    <w:rsid w:val="00A954D0"/>
    <w:rsid w:val="00AA1371"/>
    <w:rsid w:val="00AA14F4"/>
    <w:rsid w:val="00AA42FB"/>
    <w:rsid w:val="00AA5BE1"/>
    <w:rsid w:val="00AA6131"/>
    <w:rsid w:val="00AA7381"/>
    <w:rsid w:val="00AA73CF"/>
    <w:rsid w:val="00AA784D"/>
    <w:rsid w:val="00AB1AA6"/>
    <w:rsid w:val="00AB2ED0"/>
    <w:rsid w:val="00AB4F6D"/>
    <w:rsid w:val="00AB5DEF"/>
    <w:rsid w:val="00AB6E92"/>
    <w:rsid w:val="00AC568E"/>
    <w:rsid w:val="00AC5768"/>
    <w:rsid w:val="00AC5877"/>
    <w:rsid w:val="00AC67A3"/>
    <w:rsid w:val="00AC73BB"/>
    <w:rsid w:val="00AC7711"/>
    <w:rsid w:val="00AC7792"/>
    <w:rsid w:val="00AC77BA"/>
    <w:rsid w:val="00AD13A7"/>
    <w:rsid w:val="00AD2553"/>
    <w:rsid w:val="00AD31FE"/>
    <w:rsid w:val="00AD4851"/>
    <w:rsid w:val="00AD5565"/>
    <w:rsid w:val="00AD5EFF"/>
    <w:rsid w:val="00AD5FE6"/>
    <w:rsid w:val="00AD68EF"/>
    <w:rsid w:val="00AD7E04"/>
    <w:rsid w:val="00AD7F08"/>
    <w:rsid w:val="00AE399C"/>
    <w:rsid w:val="00AE4660"/>
    <w:rsid w:val="00AE51FC"/>
    <w:rsid w:val="00AE5762"/>
    <w:rsid w:val="00AE69E9"/>
    <w:rsid w:val="00AF00F9"/>
    <w:rsid w:val="00AF1CC4"/>
    <w:rsid w:val="00AF1E02"/>
    <w:rsid w:val="00AF205B"/>
    <w:rsid w:val="00AF457A"/>
    <w:rsid w:val="00AF482D"/>
    <w:rsid w:val="00AF51AB"/>
    <w:rsid w:val="00AF6CCA"/>
    <w:rsid w:val="00AF73E9"/>
    <w:rsid w:val="00B00421"/>
    <w:rsid w:val="00B012D0"/>
    <w:rsid w:val="00B015CC"/>
    <w:rsid w:val="00B02218"/>
    <w:rsid w:val="00B06DCA"/>
    <w:rsid w:val="00B07154"/>
    <w:rsid w:val="00B07C8E"/>
    <w:rsid w:val="00B07D4E"/>
    <w:rsid w:val="00B11BFA"/>
    <w:rsid w:val="00B125A8"/>
    <w:rsid w:val="00B16CED"/>
    <w:rsid w:val="00B16DA7"/>
    <w:rsid w:val="00B2007F"/>
    <w:rsid w:val="00B21A61"/>
    <w:rsid w:val="00B224F0"/>
    <w:rsid w:val="00B23ED2"/>
    <w:rsid w:val="00B241DA"/>
    <w:rsid w:val="00B251D0"/>
    <w:rsid w:val="00B25262"/>
    <w:rsid w:val="00B255E5"/>
    <w:rsid w:val="00B25A3B"/>
    <w:rsid w:val="00B25D94"/>
    <w:rsid w:val="00B267B0"/>
    <w:rsid w:val="00B33743"/>
    <w:rsid w:val="00B3649B"/>
    <w:rsid w:val="00B36877"/>
    <w:rsid w:val="00B36DFC"/>
    <w:rsid w:val="00B40D7C"/>
    <w:rsid w:val="00B41BE6"/>
    <w:rsid w:val="00B42A58"/>
    <w:rsid w:val="00B43D05"/>
    <w:rsid w:val="00B44FCE"/>
    <w:rsid w:val="00B45F68"/>
    <w:rsid w:val="00B462E9"/>
    <w:rsid w:val="00B50188"/>
    <w:rsid w:val="00B50600"/>
    <w:rsid w:val="00B51D8A"/>
    <w:rsid w:val="00B5207F"/>
    <w:rsid w:val="00B53FEB"/>
    <w:rsid w:val="00B54FBD"/>
    <w:rsid w:val="00B56986"/>
    <w:rsid w:val="00B56BF9"/>
    <w:rsid w:val="00B620D9"/>
    <w:rsid w:val="00B6328F"/>
    <w:rsid w:val="00B63490"/>
    <w:rsid w:val="00B645A8"/>
    <w:rsid w:val="00B66BBF"/>
    <w:rsid w:val="00B6742D"/>
    <w:rsid w:val="00B71C2E"/>
    <w:rsid w:val="00B724DF"/>
    <w:rsid w:val="00B726FC"/>
    <w:rsid w:val="00B7270F"/>
    <w:rsid w:val="00B73B88"/>
    <w:rsid w:val="00B76005"/>
    <w:rsid w:val="00B76749"/>
    <w:rsid w:val="00B77C87"/>
    <w:rsid w:val="00B804B9"/>
    <w:rsid w:val="00B807FD"/>
    <w:rsid w:val="00B80FC3"/>
    <w:rsid w:val="00B815D4"/>
    <w:rsid w:val="00B8203E"/>
    <w:rsid w:val="00B83278"/>
    <w:rsid w:val="00B83B58"/>
    <w:rsid w:val="00B843EE"/>
    <w:rsid w:val="00B85CE4"/>
    <w:rsid w:val="00B86977"/>
    <w:rsid w:val="00B86E45"/>
    <w:rsid w:val="00B87538"/>
    <w:rsid w:val="00B92495"/>
    <w:rsid w:val="00B930D1"/>
    <w:rsid w:val="00B960EA"/>
    <w:rsid w:val="00B97C80"/>
    <w:rsid w:val="00BA0F5B"/>
    <w:rsid w:val="00BA1DDB"/>
    <w:rsid w:val="00BA2D7C"/>
    <w:rsid w:val="00BB0B51"/>
    <w:rsid w:val="00BB1081"/>
    <w:rsid w:val="00BB18A5"/>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5784"/>
    <w:rsid w:val="00BD692D"/>
    <w:rsid w:val="00BD7C9C"/>
    <w:rsid w:val="00BE16A0"/>
    <w:rsid w:val="00BE177E"/>
    <w:rsid w:val="00BE43F5"/>
    <w:rsid w:val="00BE4A07"/>
    <w:rsid w:val="00BE5617"/>
    <w:rsid w:val="00BE6093"/>
    <w:rsid w:val="00BE60F8"/>
    <w:rsid w:val="00BF230C"/>
    <w:rsid w:val="00BF317F"/>
    <w:rsid w:val="00BF42E7"/>
    <w:rsid w:val="00BF509D"/>
    <w:rsid w:val="00BF7255"/>
    <w:rsid w:val="00C0000E"/>
    <w:rsid w:val="00C00A3A"/>
    <w:rsid w:val="00C023C6"/>
    <w:rsid w:val="00C02D0C"/>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1F1F"/>
    <w:rsid w:val="00C320AE"/>
    <w:rsid w:val="00C329A3"/>
    <w:rsid w:val="00C36885"/>
    <w:rsid w:val="00C376EA"/>
    <w:rsid w:val="00C41622"/>
    <w:rsid w:val="00C44BD1"/>
    <w:rsid w:val="00C45577"/>
    <w:rsid w:val="00C45A68"/>
    <w:rsid w:val="00C4646C"/>
    <w:rsid w:val="00C46754"/>
    <w:rsid w:val="00C46FD8"/>
    <w:rsid w:val="00C4755E"/>
    <w:rsid w:val="00C50C41"/>
    <w:rsid w:val="00C50E53"/>
    <w:rsid w:val="00C526FF"/>
    <w:rsid w:val="00C5651A"/>
    <w:rsid w:val="00C60A2C"/>
    <w:rsid w:val="00C60F5E"/>
    <w:rsid w:val="00C61B9C"/>
    <w:rsid w:val="00C625EA"/>
    <w:rsid w:val="00C64319"/>
    <w:rsid w:val="00C728F0"/>
    <w:rsid w:val="00C73131"/>
    <w:rsid w:val="00C734AD"/>
    <w:rsid w:val="00C74A8E"/>
    <w:rsid w:val="00C75650"/>
    <w:rsid w:val="00C75A82"/>
    <w:rsid w:val="00C75B26"/>
    <w:rsid w:val="00C75E5A"/>
    <w:rsid w:val="00C76DE5"/>
    <w:rsid w:val="00C76FCF"/>
    <w:rsid w:val="00C81706"/>
    <w:rsid w:val="00C81EF3"/>
    <w:rsid w:val="00C82A1A"/>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2AC2"/>
    <w:rsid w:val="00CA379B"/>
    <w:rsid w:val="00CA3E87"/>
    <w:rsid w:val="00CA4810"/>
    <w:rsid w:val="00CA646D"/>
    <w:rsid w:val="00CA6D64"/>
    <w:rsid w:val="00CA77AB"/>
    <w:rsid w:val="00CB0C30"/>
    <w:rsid w:val="00CB0EAA"/>
    <w:rsid w:val="00CB1306"/>
    <w:rsid w:val="00CB2DE1"/>
    <w:rsid w:val="00CB34A0"/>
    <w:rsid w:val="00CB50DF"/>
    <w:rsid w:val="00CB5AAD"/>
    <w:rsid w:val="00CB6245"/>
    <w:rsid w:val="00CB6545"/>
    <w:rsid w:val="00CC223C"/>
    <w:rsid w:val="00CC2755"/>
    <w:rsid w:val="00CC51DA"/>
    <w:rsid w:val="00CC6B19"/>
    <w:rsid w:val="00CC7126"/>
    <w:rsid w:val="00CC7B53"/>
    <w:rsid w:val="00CD39BE"/>
    <w:rsid w:val="00CD3EBE"/>
    <w:rsid w:val="00CD43B3"/>
    <w:rsid w:val="00CD4993"/>
    <w:rsid w:val="00CD655E"/>
    <w:rsid w:val="00CD6D04"/>
    <w:rsid w:val="00CD6EFB"/>
    <w:rsid w:val="00CD7BC0"/>
    <w:rsid w:val="00CE030B"/>
    <w:rsid w:val="00CE1148"/>
    <w:rsid w:val="00CE17B7"/>
    <w:rsid w:val="00CE1874"/>
    <w:rsid w:val="00CE1F33"/>
    <w:rsid w:val="00CE355C"/>
    <w:rsid w:val="00CE4137"/>
    <w:rsid w:val="00CE437F"/>
    <w:rsid w:val="00CE4484"/>
    <w:rsid w:val="00CE5788"/>
    <w:rsid w:val="00CE74BC"/>
    <w:rsid w:val="00CF45E9"/>
    <w:rsid w:val="00CF4DD4"/>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AAF"/>
    <w:rsid w:val="00D23B40"/>
    <w:rsid w:val="00D23CC6"/>
    <w:rsid w:val="00D242DC"/>
    <w:rsid w:val="00D250D1"/>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3E7B"/>
    <w:rsid w:val="00D84021"/>
    <w:rsid w:val="00D848CA"/>
    <w:rsid w:val="00D84C1C"/>
    <w:rsid w:val="00D8534B"/>
    <w:rsid w:val="00D85B39"/>
    <w:rsid w:val="00D876B6"/>
    <w:rsid w:val="00D87DE2"/>
    <w:rsid w:val="00D90EE2"/>
    <w:rsid w:val="00D92178"/>
    <w:rsid w:val="00D9429B"/>
    <w:rsid w:val="00D972B7"/>
    <w:rsid w:val="00D97883"/>
    <w:rsid w:val="00DA1C65"/>
    <w:rsid w:val="00DA40CA"/>
    <w:rsid w:val="00DA4E09"/>
    <w:rsid w:val="00DA6731"/>
    <w:rsid w:val="00DA770F"/>
    <w:rsid w:val="00DB0F35"/>
    <w:rsid w:val="00DB3628"/>
    <w:rsid w:val="00DB4BC9"/>
    <w:rsid w:val="00DB53A9"/>
    <w:rsid w:val="00DB77A0"/>
    <w:rsid w:val="00DB7A1E"/>
    <w:rsid w:val="00DB7B75"/>
    <w:rsid w:val="00DC138E"/>
    <w:rsid w:val="00DC2A41"/>
    <w:rsid w:val="00DC430A"/>
    <w:rsid w:val="00DC637D"/>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0A28"/>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6D0E"/>
    <w:rsid w:val="00E46EB7"/>
    <w:rsid w:val="00E4729C"/>
    <w:rsid w:val="00E500EB"/>
    <w:rsid w:val="00E505FB"/>
    <w:rsid w:val="00E50857"/>
    <w:rsid w:val="00E511D6"/>
    <w:rsid w:val="00E5137D"/>
    <w:rsid w:val="00E521EC"/>
    <w:rsid w:val="00E53F71"/>
    <w:rsid w:val="00E541F9"/>
    <w:rsid w:val="00E54208"/>
    <w:rsid w:val="00E55DF9"/>
    <w:rsid w:val="00E60683"/>
    <w:rsid w:val="00E60A24"/>
    <w:rsid w:val="00E60FA8"/>
    <w:rsid w:val="00E646A4"/>
    <w:rsid w:val="00E646BB"/>
    <w:rsid w:val="00E64D10"/>
    <w:rsid w:val="00E66946"/>
    <w:rsid w:val="00E6706B"/>
    <w:rsid w:val="00E67FC2"/>
    <w:rsid w:val="00E7030E"/>
    <w:rsid w:val="00E72180"/>
    <w:rsid w:val="00E73198"/>
    <w:rsid w:val="00E74C85"/>
    <w:rsid w:val="00E75490"/>
    <w:rsid w:val="00E7633D"/>
    <w:rsid w:val="00E764CC"/>
    <w:rsid w:val="00E77C72"/>
    <w:rsid w:val="00E81C89"/>
    <w:rsid w:val="00E825C6"/>
    <w:rsid w:val="00E833BE"/>
    <w:rsid w:val="00E84691"/>
    <w:rsid w:val="00E850EE"/>
    <w:rsid w:val="00E85D60"/>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86D"/>
    <w:rsid w:val="00EC320F"/>
    <w:rsid w:val="00EC3CA8"/>
    <w:rsid w:val="00EC4826"/>
    <w:rsid w:val="00EC4F48"/>
    <w:rsid w:val="00EC5260"/>
    <w:rsid w:val="00EC5791"/>
    <w:rsid w:val="00EC6CE1"/>
    <w:rsid w:val="00ED0A8D"/>
    <w:rsid w:val="00ED1FA9"/>
    <w:rsid w:val="00ED23F7"/>
    <w:rsid w:val="00ED2934"/>
    <w:rsid w:val="00ED3715"/>
    <w:rsid w:val="00ED4585"/>
    <w:rsid w:val="00ED668C"/>
    <w:rsid w:val="00EE0C2B"/>
    <w:rsid w:val="00EE0C5F"/>
    <w:rsid w:val="00EE12CE"/>
    <w:rsid w:val="00EE3947"/>
    <w:rsid w:val="00EE4D62"/>
    <w:rsid w:val="00EF0D0C"/>
    <w:rsid w:val="00EF14C3"/>
    <w:rsid w:val="00EF36E2"/>
    <w:rsid w:val="00EF36E3"/>
    <w:rsid w:val="00EF5EFB"/>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0BBB"/>
    <w:rsid w:val="00F10BFF"/>
    <w:rsid w:val="00F11EDC"/>
    <w:rsid w:val="00F12A1D"/>
    <w:rsid w:val="00F12F42"/>
    <w:rsid w:val="00F13DE4"/>
    <w:rsid w:val="00F16550"/>
    <w:rsid w:val="00F17A33"/>
    <w:rsid w:val="00F21A8A"/>
    <w:rsid w:val="00F251DE"/>
    <w:rsid w:val="00F27A88"/>
    <w:rsid w:val="00F31028"/>
    <w:rsid w:val="00F31F0C"/>
    <w:rsid w:val="00F327C3"/>
    <w:rsid w:val="00F3338E"/>
    <w:rsid w:val="00F3340B"/>
    <w:rsid w:val="00F34DC0"/>
    <w:rsid w:val="00F37548"/>
    <w:rsid w:val="00F3779A"/>
    <w:rsid w:val="00F421E6"/>
    <w:rsid w:val="00F4241C"/>
    <w:rsid w:val="00F429E6"/>
    <w:rsid w:val="00F45FF7"/>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47B7"/>
    <w:rsid w:val="00F852C2"/>
    <w:rsid w:val="00F855B3"/>
    <w:rsid w:val="00F85B69"/>
    <w:rsid w:val="00F872AD"/>
    <w:rsid w:val="00F87807"/>
    <w:rsid w:val="00F900AE"/>
    <w:rsid w:val="00F90496"/>
    <w:rsid w:val="00F91764"/>
    <w:rsid w:val="00F9251B"/>
    <w:rsid w:val="00F93EE2"/>
    <w:rsid w:val="00F95D8C"/>
    <w:rsid w:val="00F96514"/>
    <w:rsid w:val="00F96C32"/>
    <w:rsid w:val="00F97AB9"/>
    <w:rsid w:val="00FA1A5C"/>
    <w:rsid w:val="00FA24FE"/>
    <w:rsid w:val="00FA2E62"/>
    <w:rsid w:val="00FA506B"/>
    <w:rsid w:val="00FA6A25"/>
    <w:rsid w:val="00FA7F3B"/>
    <w:rsid w:val="00FB3B57"/>
    <w:rsid w:val="00FB44FE"/>
    <w:rsid w:val="00FB4E97"/>
    <w:rsid w:val="00FB587D"/>
    <w:rsid w:val="00FB75A8"/>
    <w:rsid w:val="00FC30AF"/>
    <w:rsid w:val="00FC3745"/>
    <w:rsid w:val="00FC3D4A"/>
    <w:rsid w:val="00FC7143"/>
    <w:rsid w:val="00FC72C1"/>
    <w:rsid w:val="00FC7A63"/>
    <w:rsid w:val="00FC7C8F"/>
    <w:rsid w:val="00FD5ED9"/>
    <w:rsid w:val="00FD6AE8"/>
    <w:rsid w:val="00FD6F50"/>
    <w:rsid w:val="00FD7D62"/>
    <w:rsid w:val="00FE0FB0"/>
    <w:rsid w:val="00FE13BD"/>
    <w:rsid w:val="00FE1A3E"/>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4516">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1572904">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PANTOVIĆ, Radomir</Reference>
    <Case_x0020_Year xmlns="63130c8a-8d1f-4e28-8ee3-43603ca9ef3b">2009</Case_x0020_Year>
    <Case_x0020_Status xmlns="16f2acb5-7363-4076-9084-069fc3bb4325">CASE CLOSED</Case_x0020_Status>
    <Date_x0020_of_x0020_Adoption xmlns="16f2acb5-7363-4076-9084-069fc3bb4325">2015-05-13T22:00:00+00:00</Date_x0020_of_x0020_Adoption>
    <Case_x0020_Number xmlns="16f2acb5-7363-4076-9084-069fc3bb4325">239/09</Case_x0020_Number>
    <Type_x0020_of_x0020_Document xmlns="16f2acb5-7363-4076-9084-069fc3bb4325">Opinion</Type_x0020_of_x0020_Document>
    <_dlc_DocId xmlns="b9fab99d-1571-47f6-8995-3a195ef041f8">M5JDUUKXSQ5W-25-1103</_dlc_DocId>
    <_dlc_DocIdUrl xmlns="b9fab99d-1571-47f6-8995-3a195ef041f8">
      <Url>http://www.unmikonline.org/hrap/Eng/_layouts/DocIdRedir.aspx?ID=M5JDUUKXSQ5W-25-1103</Url>
      <Description>M5JDUUKXSQ5W-25-1103</Description>
    </_dlc_DocIdUrl>
  </documentManagement>
</p:properties>
</file>

<file path=customXml/itemProps1.xml><?xml version="1.0" encoding="utf-8"?>
<ds:datastoreItem xmlns:ds="http://schemas.openxmlformats.org/officeDocument/2006/customXml" ds:itemID="{ACF09D51-817E-46F9-B3BB-F8B235A6CE9B}"/>
</file>

<file path=customXml/itemProps2.xml><?xml version="1.0" encoding="utf-8"?>
<ds:datastoreItem xmlns:ds="http://schemas.openxmlformats.org/officeDocument/2006/customXml" ds:itemID="{A19B7BE6-9B9D-43D2-A5D2-5CC17467DD66}"/>
</file>

<file path=customXml/itemProps3.xml><?xml version="1.0" encoding="utf-8"?>
<ds:datastoreItem xmlns:ds="http://schemas.openxmlformats.org/officeDocument/2006/customXml" ds:itemID="{DAB77DCF-31F7-4D25-B243-160CB7086877}"/>
</file>

<file path=customXml/itemProps4.xml><?xml version="1.0" encoding="utf-8"?>
<ds:datastoreItem xmlns:ds="http://schemas.openxmlformats.org/officeDocument/2006/customXml" ds:itemID="{16679239-4E92-4459-AE3C-0D1FE0EB4196}"/>
</file>

<file path=customXml/itemProps5.xml><?xml version="1.0" encoding="utf-8"?>
<ds:datastoreItem xmlns:ds="http://schemas.openxmlformats.org/officeDocument/2006/customXml" ds:itemID="{B29A457C-1335-4E34-A3F4-A2577F6FB8ED}"/>
</file>

<file path=docProps/app.xml><?xml version="1.0" encoding="utf-8"?>
<Properties xmlns="http://schemas.openxmlformats.org/officeDocument/2006/extended-properties" xmlns:vt="http://schemas.openxmlformats.org/officeDocument/2006/docPropsVTypes">
  <Template>Normal</Template>
  <TotalTime>0</TotalTime>
  <Pages>34</Pages>
  <Words>15539</Words>
  <Characters>88577</Characters>
  <Application>Microsoft Office Word</Application>
  <DocSecurity>0</DocSecurity>
  <Lines>738</Lines>
  <Paragraphs>207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103909</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2015-05-14T15:06:00Z</cp:lastPrinted>
  <dcterms:created xsi:type="dcterms:W3CDTF">2015-06-23T08:14:00Z</dcterms:created>
  <dcterms:modified xsi:type="dcterms:W3CDTF">2015-06-23T08:14:00Z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e7889b9f-3279-4f3d-931e-2c5c6ab8d07d</vt:lpwstr>
  </property>
</Properties>
</file>